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AEE9DE" w14:textId="742BF754" w:rsidR="00460239" w:rsidRPr="00B266B0" w:rsidRDefault="00460239" w:rsidP="0046023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#114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2105733</w:t>
      </w:r>
    </w:p>
    <w:p w14:paraId="11776FA6" w14:textId="68A4EE0D" w:rsidR="00A209D6" w:rsidRPr="00465587" w:rsidRDefault="00460239" w:rsidP="00460239">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w:t>
      </w:r>
      <w:r>
        <w:rPr>
          <w:rFonts w:eastAsia="SimSun"/>
          <w:bCs/>
          <w:sz w:val="24"/>
          <w:szCs w:val="24"/>
          <w:lang w:eastAsia="zh-CN"/>
        </w:rPr>
        <w:t>9</w:t>
      </w:r>
      <w:r w:rsidRPr="006E1057">
        <w:rPr>
          <w:rFonts w:eastAsia="SimSun"/>
          <w:bCs/>
          <w:sz w:val="24"/>
          <w:szCs w:val="24"/>
          <w:lang w:eastAsia="zh-CN"/>
        </w:rPr>
        <w:t xml:space="preserve"> – 2</w:t>
      </w:r>
      <w:r>
        <w:rPr>
          <w:rFonts w:eastAsia="SimSun"/>
          <w:bCs/>
          <w:sz w:val="24"/>
          <w:szCs w:val="24"/>
          <w:lang w:eastAsia="zh-CN"/>
        </w:rPr>
        <w:t>7</w:t>
      </w:r>
      <w:r w:rsidRPr="006E1057">
        <w:rPr>
          <w:rFonts w:eastAsia="SimSun"/>
          <w:bCs/>
          <w:sz w:val="24"/>
          <w:szCs w:val="24"/>
          <w:lang w:eastAsia="zh-CN"/>
        </w:rPr>
        <w:t xml:space="preserve"> </w:t>
      </w:r>
      <w:r>
        <w:rPr>
          <w:rFonts w:eastAsia="SimSun"/>
          <w:bCs/>
          <w:sz w:val="24"/>
          <w:szCs w:val="24"/>
          <w:lang w:eastAsia="zh-CN"/>
        </w:rPr>
        <w:t>May</w:t>
      </w:r>
      <w:r w:rsidRPr="006E1057">
        <w:rPr>
          <w:rFonts w:eastAsia="SimSun"/>
          <w:bCs/>
          <w:sz w:val="24"/>
          <w:szCs w:val="24"/>
          <w:lang w:eastAsia="zh-CN"/>
        </w:rPr>
        <w:t xml:space="preserve"> 2021</w:t>
      </w:r>
      <w:r>
        <w:rPr>
          <w:rFonts w:eastAsia="SimSun"/>
          <w:noProof w:val="0"/>
          <w:sz w:val="24"/>
          <w:szCs w:val="24"/>
          <w:lang w:eastAsia="zh-CN"/>
        </w:rPr>
        <w:tab/>
      </w:r>
      <w:r>
        <w:rPr>
          <w:rFonts w:eastAsia="SimSun"/>
          <w:bCs/>
          <w:i/>
          <w:noProof w:val="0"/>
          <w:sz w:val="24"/>
          <w:szCs w:val="24"/>
          <w:lang w:eastAsia="zh-CN"/>
        </w:rPr>
        <w:t>R2-2103468</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F72CB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2E44">
        <w:rPr>
          <w:rFonts w:cs="Arial"/>
          <w:b/>
          <w:bCs/>
          <w:sz w:val="24"/>
          <w:lang w:eastAsia="ja-JP"/>
        </w:rPr>
        <w:t>8.15.</w:t>
      </w:r>
      <w:r w:rsidR="00C202DB">
        <w:rPr>
          <w:rFonts w:cs="Arial"/>
          <w:b/>
          <w:bCs/>
          <w:sz w:val="24"/>
          <w:lang w:eastAsia="ja-JP"/>
        </w:rPr>
        <w:t>2</w:t>
      </w:r>
    </w:p>
    <w:p w14:paraId="73188B46" w14:textId="4D9E595A"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A93314">
        <w:rPr>
          <w:rFonts w:ascii="Arial" w:hAnsi="Arial" w:cs="Arial"/>
          <w:b/>
          <w:bCs/>
          <w:sz w:val="24"/>
        </w:rPr>
        <w:t>,</w:t>
      </w:r>
      <w:r w:rsidR="00A93314" w:rsidRPr="00A93314">
        <w:rPr>
          <w:rFonts w:ascii="Arial" w:hAnsi="Arial" w:cs="Arial"/>
          <w:b/>
          <w:bCs/>
          <w:sz w:val="24"/>
        </w:rPr>
        <w:t xml:space="preserve"> </w:t>
      </w:r>
      <w:r w:rsidR="00A93314">
        <w:rPr>
          <w:rFonts w:ascii="Arial" w:hAnsi="Arial" w:cs="Arial"/>
          <w:b/>
          <w:bCs/>
          <w:sz w:val="24"/>
        </w:rPr>
        <w:t>Fujitsu, Fraunhofer IIS, Fraunhofer HHI</w:t>
      </w:r>
    </w:p>
    <w:p w14:paraId="0FA3EF00" w14:textId="0DF7531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7A8D">
        <w:rPr>
          <w:rFonts w:ascii="Arial" w:hAnsi="Arial" w:cs="Arial"/>
          <w:b/>
          <w:bCs/>
          <w:sz w:val="24"/>
        </w:rPr>
        <w:t>Geolocation for Sidelink DRX</w:t>
      </w:r>
    </w:p>
    <w:p w14:paraId="1F147C23" w14:textId="35FCE83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2E44">
        <w:rPr>
          <w:rFonts w:ascii="Arial" w:hAnsi="Arial" w:cs="Arial"/>
          <w:b/>
          <w:bCs/>
          <w:sz w:val="24"/>
        </w:rPr>
        <w:t>NR</w:t>
      </w:r>
      <w:r w:rsidR="00962E44" w:rsidRPr="00074875">
        <w:rPr>
          <w:rFonts w:ascii="Arial" w:hAnsi="Arial" w:cs="Arial"/>
          <w:b/>
          <w:bCs/>
          <w:sz w:val="24"/>
        </w:rPr>
        <w:t>_</w:t>
      </w:r>
      <w:r w:rsidR="00962E44">
        <w:rPr>
          <w:rFonts w:ascii="Arial" w:hAnsi="Arial" w:cs="Arial"/>
          <w:b/>
          <w:bCs/>
          <w:sz w:val="24"/>
        </w:rPr>
        <w:t>SL_enh</w:t>
      </w:r>
      <w:r w:rsidR="00962E44" w:rsidRPr="00074875">
        <w:rPr>
          <w:rFonts w:ascii="Arial" w:hAnsi="Arial" w:cs="Arial"/>
          <w:b/>
          <w:bCs/>
          <w:sz w:val="24"/>
        </w:rPr>
        <w:t>-Core</w:t>
      </w:r>
      <w:r w:rsidR="00962E44" w:rsidRPr="00F1475B">
        <w:rPr>
          <w:rFonts w:ascii="Arial" w:hAnsi="Arial" w:cs="Arial"/>
          <w:b/>
          <w:bCs/>
          <w:sz w:val="24"/>
        </w:rPr>
        <w:t xml:space="preserve"> </w:t>
      </w:r>
      <w:r w:rsidR="00962E44">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4FF9BC" w14:textId="6121FA3F" w:rsidR="00A437EA" w:rsidRDefault="006C1A51" w:rsidP="00A437EA">
      <w:pPr>
        <w:pStyle w:val="3GPPNormalText"/>
        <w:jc w:val="both"/>
      </w:pPr>
      <w:r w:rsidRPr="6C3B2034">
        <w:t>In the</w:t>
      </w:r>
      <w:r>
        <w:t xml:space="preserve"> last</w:t>
      </w:r>
      <w:r w:rsidRPr="6C3B2034">
        <w:t xml:space="preserve"> </w:t>
      </w:r>
      <w:hyperlink r:id="rId12" w:history="1">
        <w:r w:rsidRPr="006C1A51">
          <w:rPr>
            <w:rStyle w:val="Hyperlink"/>
          </w:rPr>
          <w:t>RAN2#113</w:t>
        </w:r>
      </w:hyperlink>
      <w:r>
        <w:t xml:space="preserve"> meeting the parameters to be considered for SL DRX configuration have been discussed in the context of the </w:t>
      </w:r>
      <w:hyperlink r:id="rId13" w:history="1">
        <w:r w:rsidRPr="006C1A51">
          <w:rPr>
            <w:rStyle w:val="Hyperlink"/>
          </w:rPr>
          <w:t>WI SL_enh</w:t>
        </w:r>
      </w:hyperlink>
      <w:r>
        <w:t xml:space="preserve">. In the </w:t>
      </w:r>
      <w:hyperlink r:id="rId14" w:history="1">
        <w:r w:rsidRPr="00A437EA">
          <w:rPr>
            <w:rStyle w:val="Hyperlink"/>
          </w:rPr>
          <w:t>[AT113-e][708][V2X/SL]</w:t>
        </w:r>
      </w:hyperlink>
      <w:r>
        <w:t xml:space="preserve"> </w:t>
      </w:r>
      <w:r w:rsidR="0020696E">
        <w:t>offline email</w:t>
      </w:r>
      <w:r>
        <w:t xml:space="preserve"> on </w:t>
      </w:r>
      <w:r w:rsidRPr="006C1A51">
        <w:rPr>
          <w:i/>
          <w:iCs/>
        </w:rPr>
        <w:t>Granularity of SL DRX operation for groupcast/broadcast</w:t>
      </w:r>
      <w:r>
        <w:t xml:space="preserve"> </w:t>
      </w:r>
      <w:r w:rsidR="0020696E">
        <w:t xml:space="preserve">it has been </w:t>
      </w:r>
      <w:r>
        <w:t xml:space="preserve">discussed (among other parameters) how geolocation can facilitate SL DRX and pros </w:t>
      </w:r>
      <w:r w:rsidR="00035570">
        <w:t>&amp;</w:t>
      </w:r>
      <w:r>
        <w:t xml:space="preserve"> cons</w:t>
      </w:r>
      <w:r w:rsidR="00035570">
        <w:t xml:space="preserve"> have been collected</w:t>
      </w:r>
      <w:r>
        <w:t xml:space="preserve">. </w:t>
      </w:r>
    </w:p>
    <w:p w14:paraId="7D276893" w14:textId="1E0C5F3F" w:rsidR="006C1A51" w:rsidRDefault="006C1A51" w:rsidP="00A437EA">
      <w:pPr>
        <w:pStyle w:val="3GPPNormalText"/>
        <w:jc w:val="both"/>
      </w:pPr>
      <w:r w:rsidRPr="003605DE">
        <w:t xml:space="preserve">This contribution will </w:t>
      </w:r>
      <w:r>
        <w:t xml:space="preserve">further </w:t>
      </w:r>
      <w:r w:rsidRPr="003605DE">
        <w:t>discuss</w:t>
      </w:r>
      <w:r>
        <w:t xml:space="preserve"> </w:t>
      </w:r>
      <w:r w:rsidR="00A437EA">
        <w:t>how geolocation can support autonomous SL DRX configuration for vulnerable road users</w:t>
      </w:r>
      <w:r w:rsidR="00D73B7A">
        <w:t xml:space="preserve"> that meets their increased demand for road safety as well as power saving</w:t>
      </w:r>
      <w:r w:rsidR="00A437EA">
        <w:t xml:space="preserve">. </w:t>
      </w:r>
      <w:r>
        <w:t xml:space="preserve"> </w:t>
      </w:r>
      <w:r w:rsidRPr="003605DE">
        <w:t xml:space="preserve"> </w:t>
      </w:r>
    </w:p>
    <w:p w14:paraId="4F547731" w14:textId="17096E7F" w:rsidR="00A209D6" w:rsidRPr="006E13D1" w:rsidRDefault="00A209D6" w:rsidP="00B7538C">
      <w:pPr>
        <w:pStyle w:val="Heading1"/>
      </w:pPr>
      <w:r w:rsidRPr="006E13D1">
        <w:t>2</w:t>
      </w:r>
      <w:r w:rsidRPr="006E13D1">
        <w:tab/>
      </w:r>
      <w:r w:rsidR="00A437EA">
        <w:t>Discussion</w:t>
      </w:r>
    </w:p>
    <w:p w14:paraId="5F01C058" w14:textId="6DD377CA" w:rsidR="00A209D6" w:rsidRPr="006E13D1" w:rsidRDefault="00B7538C" w:rsidP="00A209D6">
      <w:pPr>
        <w:pStyle w:val="Heading2"/>
      </w:pPr>
      <w:r>
        <w:t>2</w:t>
      </w:r>
      <w:r w:rsidR="00A209D6" w:rsidRPr="006E13D1">
        <w:t>.1</w:t>
      </w:r>
      <w:r w:rsidR="00A209D6" w:rsidRPr="006E13D1">
        <w:tab/>
      </w:r>
      <w:r w:rsidR="00072838">
        <w:t>Geolocation for SL DRX - Justification</w:t>
      </w:r>
    </w:p>
    <w:p w14:paraId="5F4BA574" w14:textId="1F2E7989" w:rsidR="00A6637C" w:rsidRDefault="00A437EA" w:rsidP="00B7538C">
      <w:r>
        <w:t xml:space="preserve">In </w:t>
      </w:r>
      <w:hyperlink r:id="rId15" w:history="1">
        <w:r w:rsidRPr="00A6637C">
          <w:rPr>
            <w:rStyle w:val="Hyperlink"/>
          </w:rPr>
          <w:t>R2-2102184</w:t>
        </w:r>
      </w:hyperlink>
      <w:r>
        <w:t xml:space="preserve"> the rapporteur has </w:t>
      </w:r>
      <w:r w:rsidR="00A6637C">
        <w:t>collected</w:t>
      </w:r>
      <w:r>
        <w:t xml:space="preserve"> the companies’ view</w:t>
      </w:r>
      <w:r w:rsidR="00A6637C">
        <w:t>s</w:t>
      </w:r>
      <w:r>
        <w:t xml:space="preserve"> in </w:t>
      </w:r>
      <w:hyperlink r:id="rId16" w:history="1">
        <w:r w:rsidRPr="00A437EA">
          <w:rPr>
            <w:rStyle w:val="Hyperlink"/>
          </w:rPr>
          <w:t>[AT113-e][708][V2X/SL]</w:t>
        </w:r>
      </w:hyperlink>
      <w:r>
        <w:t xml:space="preserve"> on</w:t>
      </w:r>
      <w:r w:rsidR="00A6637C">
        <w:t xml:space="preserve"> various parameters for configuration of SL DRX. In question Q3d companies have been asked whether SL DRX cycles configuration may be based on the UE’s geolocation, i.e. a </w:t>
      </w:r>
      <w:r w:rsidR="00A93314">
        <w:t>(</w:t>
      </w:r>
      <w:r w:rsidR="00A6637C">
        <w:t>pre-</w:t>
      </w:r>
      <w:r w:rsidR="00A93314">
        <w:t>)</w:t>
      </w:r>
      <w:r w:rsidR="00A6637C">
        <w:t xml:space="preserve">configured SL DRX configuration is used for a zone or group of zones. Based on the </w:t>
      </w:r>
      <w:r w:rsidR="00305FFF">
        <w:t xml:space="preserve">first </w:t>
      </w:r>
      <w:r w:rsidR="00A6637C">
        <w:t>agreement of this email discussion:</w:t>
      </w:r>
    </w:p>
    <w:p w14:paraId="2526E694" w14:textId="67ECDB0E" w:rsidR="00305FFF" w:rsidRDefault="00305FFF" w:rsidP="00305FFF">
      <w:pPr>
        <w:pBdr>
          <w:top w:val="single" w:sz="4" w:space="1" w:color="auto"/>
          <w:left w:val="single" w:sz="4" w:space="4" w:color="auto"/>
          <w:bottom w:val="single" w:sz="4" w:space="1" w:color="auto"/>
          <w:right w:val="single" w:sz="4" w:space="4" w:color="auto"/>
        </w:pBdr>
        <w:tabs>
          <w:tab w:val="left" w:pos="142"/>
        </w:tabs>
        <w:ind w:left="142" w:right="285"/>
      </w:pPr>
      <w:r>
        <w:t>1: RAN2 kindly agree that for groupcast and broadcast communication further granularity to multiple sets of DRX configurations (beyond just cast type) is required i.e. more than two DRX Cycle configurations should be supported in specification.</w:t>
      </w:r>
    </w:p>
    <w:p w14:paraId="35D0A48C" w14:textId="788B7DBC" w:rsidR="00A6637C" w:rsidRDefault="00A93314" w:rsidP="00B7538C">
      <w:r>
        <w:t>W</w:t>
      </w:r>
      <w:r w:rsidR="00A6637C">
        <w:t xml:space="preserve">e want to continue the discussion </w:t>
      </w:r>
      <w:r w:rsidR="00305FFF">
        <w:t xml:space="preserve">in this contribution </w:t>
      </w:r>
      <w:r w:rsidR="00A6637C">
        <w:t>with re</w:t>
      </w:r>
      <w:r w:rsidR="00EA46E3">
        <w:t>s</w:t>
      </w:r>
      <w:r w:rsidR="00A6637C">
        <w:t>pect to UE geolocation to determine pre-configured SL DRX configuration especially for pedestrian type of UEs.</w:t>
      </w:r>
    </w:p>
    <w:p w14:paraId="6D24FFE9" w14:textId="0D71B696" w:rsidR="00B52B50" w:rsidRDefault="00305FFF" w:rsidP="00B7538C">
      <w:pPr>
        <w:rPr>
          <w:lang w:eastAsia="ko-KR"/>
        </w:rPr>
      </w:pPr>
      <w:r>
        <w:t xml:space="preserve">The whole purpose of the </w:t>
      </w:r>
      <w:hyperlink r:id="rId17" w:history="1">
        <w:r w:rsidRPr="00305FFF">
          <w:rPr>
            <w:rStyle w:val="Hyperlink"/>
          </w:rPr>
          <w:t>Rel</w:t>
        </w:r>
        <w:r w:rsidR="00A93314">
          <w:rPr>
            <w:rStyle w:val="Hyperlink"/>
          </w:rPr>
          <w:t>-</w:t>
        </w:r>
        <w:r w:rsidRPr="00305FFF">
          <w:rPr>
            <w:rStyle w:val="Hyperlink"/>
          </w:rPr>
          <w:t>17 WI NR Sidelink enhancement</w:t>
        </w:r>
      </w:hyperlink>
      <w:r>
        <w:t xml:space="preserve"> is to enable UEs with battery constraints to perform NR sidelink operations in a power efficient manner, i.e. enable power saving </w:t>
      </w:r>
      <w:r w:rsidR="00B52B50">
        <w:t>by SL DRX in NR sidelink. In the justification for this WI the document states: “</w:t>
      </w:r>
      <w:r w:rsidR="00B52B50">
        <w:rPr>
          <w:lang w:eastAsia="ko-KR"/>
        </w:rPr>
        <w:t>Solutions for power saving in Rel-17 are required for vulnerable road users (VRUs) in V2X use cases and for UEs in public safety and commercial use cases where power consumption in the UEs needs to be minimized.”</w:t>
      </w:r>
    </w:p>
    <w:p w14:paraId="2918E713" w14:textId="29026977" w:rsidR="00531E0A" w:rsidRDefault="00531E0A" w:rsidP="00B7538C">
      <w:pPr>
        <w:rPr>
          <w:lang w:eastAsia="ko-KR"/>
        </w:rPr>
      </w:pPr>
      <w:r w:rsidRPr="00B84DB2">
        <w:rPr>
          <w:b/>
        </w:rPr>
        <w:t>Observation 1</w:t>
      </w:r>
      <w:r w:rsidRPr="007A2E55">
        <w:rPr>
          <w:bCs/>
        </w:rPr>
        <w:t>:</w:t>
      </w:r>
      <w:r>
        <w:t xml:space="preserve"> While vehicular type of UEs </w:t>
      </w:r>
      <w:r w:rsidR="005B1447">
        <w:t>may</w:t>
      </w:r>
      <w:r>
        <w:t xml:space="preserve"> not need power saving for NR sidelink operation, the Rel</w:t>
      </w:r>
      <w:r w:rsidR="00A93314">
        <w:t>-</w:t>
      </w:r>
      <w:r>
        <w:t>17 WI NR sidelink enhancements explicitly targets VRUs for SL DRX.</w:t>
      </w:r>
    </w:p>
    <w:p w14:paraId="561ADFB1" w14:textId="50D87368" w:rsidR="00470C66" w:rsidRDefault="001068A7" w:rsidP="00B7538C">
      <w:pPr>
        <w:rPr>
          <w:lang w:val="en-US"/>
        </w:rPr>
      </w:pPr>
      <w:r>
        <w:t xml:space="preserve">As the </w:t>
      </w:r>
      <w:hyperlink r:id="rId18" w:history="1">
        <w:r w:rsidRPr="00072838">
          <w:rPr>
            <w:rStyle w:val="Hyperlink"/>
          </w:rPr>
          <w:t xml:space="preserve">5GAA whitepaper </w:t>
        </w:r>
        <w:r w:rsidR="00072838" w:rsidRPr="00072838">
          <w:rPr>
            <w:rStyle w:val="Hyperlink"/>
            <w:i/>
            <w:iCs/>
          </w:rPr>
          <w:t>Vulnerable Road User Protection</w:t>
        </w:r>
      </w:hyperlink>
      <w:r w:rsidR="00072838">
        <w:t xml:space="preserve"> points out, </w:t>
      </w:r>
      <w:r>
        <w:rPr>
          <w:lang w:val="en-US"/>
        </w:rPr>
        <w:t>r</w:t>
      </w:r>
      <w:r w:rsidRPr="00F87E05">
        <w:rPr>
          <w:lang w:val="en-US"/>
        </w:rPr>
        <w:t>oad safety is a crucial aspect of mobility</w:t>
      </w:r>
      <w:r w:rsidR="00A93314">
        <w:rPr>
          <w:lang w:val="en-US"/>
        </w:rPr>
        <w:t xml:space="preserve"> for</w:t>
      </w:r>
      <w:r w:rsidRPr="00F87E05">
        <w:rPr>
          <w:lang w:val="en-US"/>
        </w:rPr>
        <w:t xml:space="preserve"> both individuals as well as for policymakers</w:t>
      </w:r>
      <w:r w:rsidR="00470C66">
        <w:rPr>
          <w:lang w:val="en-US"/>
        </w:rPr>
        <w:t xml:space="preserve">. The statistics on road fatalities for the </w:t>
      </w:r>
      <w:hyperlink r:id="rId19" w:history="1">
        <w:r w:rsidR="00470C66" w:rsidRPr="00470C66">
          <w:rPr>
            <w:rStyle w:val="Hyperlink"/>
            <w:lang w:val="en-US"/>
          </w:rPr>
          <w:t>European Union</w:t>
        </w:r>
      </w:hyperlink>
      <w:r w:rsidR="00470C66">
        <w:rPr>
          <w:lang w:val="en-US"/>
        </w:rPr>
        <w:t xml:space="preserve"> clearly </w:t>
      </w:r>
      <w:r w:rsidR="00531E0A">
        <w:rPr>
          <w:lang w:val="en-US"/>
        </w:rPr>
        <w:t>states</w:t>
      </w:r>
      <w:r w:rsidR="005A33D4">
        <w:rPr>
          <w:lang w:val="en-US"/>
        </w:rPr>
        <w:t>,</w:t>
      </w:r>
      <w:r w:rsidR="00531E0A">
        <w:rPr>
          <w:lang w:val="en-US"/>
        </w:rPr>
        <w:t xml:space="preserve"> </w:t>
      </w:r>
      <w:r w:rsidR="00470C66">
        <w:rPr>
          <w:lang w:val="en-US"/>
        </w:rPr>
        <w:t>“</w:t>
      </w:r>
      <w:r w:rsidR="00470C66" w:rsidRPr="005A33D4">
        <w:rPr>
          <w:i/>
          <w:iCs/>
          <w:lang w:val="en-US"/>
        </w:rPr>
        <w:t>While fatality rates have decreased across the board, figures for car drivers and passengers have improved the most. This is because cars have become safer. The smallest improvement is for vulnerable road users: unprotected cyclists and pedestrians, riders of powered two-wheelers</w:t>
      </w:r>
      <w:r w:rsidR="005A33D4" w:rsidRPr="005A33D4">
        <w:rPr>
          <w:i/>
          <w:iCs/>
          <w:lang w:val="en-US"/>
        </w:rPr>
        <w:t>,</w:t>
      </w:r>
      <w:r w:rsidR="00470C66" w:rsidRPr="005A33D4">
        <w:rPr>
          <w:i/>
          <w:iCs/>
          <w:lang w:val="en-US"/>
        </w:rPr>
        <w:t xml:space="preserve"> and the elderly, especially in urban areas. Vulnerable road users account for almost half of road accident victims.</w:t>
      </w:r>
      <w:r w:rsidR="00470C66">
        <w:rPr>
          <w:lang w:val="en-US"/>
        </w:rPr>
        <w:t>”</w:t>
      </w:r>
      <w:r w:rsidR="00531E0A">
        <w:rPr>
          <w:lang w:val="en-US"/>
        </w:rPr>
        <w:t xml:space="preserve"> In </w:t>
      </w:r>
      <w:r w:rsidR="005A33D4">
        <w:rPr>
          <w:lang w:val="en-US"/>
        </w:rPr>
        <w:t>general,</w:t>
      </w:r>
      <w:r w:rsidR="00531E0A">
        <w:rPr>
          <w:lang w:val="en-US"/>
        </w:rPr>
        <w:t xml:space="preserve"> </w:t>
      </w:r>
      <w:r w:rsidR="00531E0A" w:rsidRPr="00CF1946">
        <w:rPr>
          <w:lang w:val="en-US"/>
        </w:rPr>
        <w:t xml:space="preserve">VRU categories include </w:t>
      </w:r>
      <w:r w:rsidR="00531E0A">
        <w:rPr>
          <w:lang w:val="en-US"/>
        </w:rPr>
        <w:t>p</w:t>
      </w:r>
      <w:r w:rsidR="00531E0A" w:rsidRPr="00CF1946">
        <w:rPr>
          <w:lang w:val="en-US"/>
        </w:rPr>
        <w:t xml:space="preserve">edestrians, </w:t>
      </w:r>
      <w:r w:rsidR="00531E0A">
        <w:rPr>
          <w:lang w:val="en-US"/>
        </w:rPr>
        <w:t>c</w:t>
      </w:r>
      <w:r w:rsidR="00531E0A" w:rsidRPr="00CF1946">
        <w:rPr>
          <w:lang w:val="en-US"/>
        </w:rPr>
        <w:t>yclists (including eBikes),</w:t>
      </w:r>
      <w:r w:rsidR="00A93314">
        <w:rPr>
          <w:lang w:val="en-US"/>
        </w:rPr>
        <w:t xml:space="preserve"> scooters,</w:t>
      </w:r>
      <w:r w:rsidR="00531E0A" w:rsidRPr="00CF1946">
        <w:rPr>
          <w:lang w:val="en-US"/>
        </w:rPr>
        <w:t xml:space="preserve"> </w:t>
      </w:r>
      <w:r w:rsidR="00531E0A">
        <w:rPr>
          <w:lang w:val="en-US"/>
        </w:rPr>
        <w:t>m</w:t>
      </w:r>
      <w:r w:rsidR="00531E0A" w:rsidRPr="00CF1946">
        <w:rPr>
          <w:lang w:val="en-US"/>
        </w:rPr>
        <w:t xml:space="preserve">otorcyclists, </w:t>
      </w:r>
      <w:r w:rsidR="00531E0A">
        <w:rPr>
          <w:lang w:val="en-US"/>
        </w:rPr>
        <w:t>r</w:t>
      </w:r>
      <w:r w:rsidR="00531E0A" w:rsidRPr="00CF1946">
        <w:rPr>
          <w:lang w:val="en-US"/>
        </w:rPr>
        <w:t xml:space="preserve">oad workers, </w:t>
      </w:r>
      <w:r w:rsidR="00531E0A">
        <w:rPr>
          <w:lang w:val="en-US"/>
        </w:rPr>
        <w:t>w</w:t>
      </w:r>
      <w:r w:rsidR="00531E0A" w:rsidRPr="00CF1946">
        <w:rPr>
          <w:lang w:val="en-US"/>
        </w:rPr>
        <w:t>heelchair users</w:t>
      </w:r>
      <w:r w:rsidR="00531E0A">
        <w:rPr>
          <w:lang w:val="en-US"/>
        </w:rPr>
        <w:t xml:space="preserve"> etc. One common characteristic of the above</w:t>
      </w:r>
      <w:r w:rsidR="005A33D4">
        <w:rPr>
          <w:lang w:val="en-US"/>
        </w:rPr>
        <w:t>-</w:t>
      </w:r>
      <w:r w:rsidR="00531E0A">
        <w:rPr>
          <w:lang w:val="en-US"/>
        </w:rPr>
        <w:t xml:space="preserve">described categories is the </w:t>
      </w:r>
      <w:r w:rsidR="00531E0A" w:rsidRPr="00CF1946">
        <w:rPr>
          <w:lang w:val="en-US"/>
        </w:rPr>
        <w:t>limited battery capacity</w:t>
      </w:r>
      <w:r w:rsidR="00531E0A">
        <w:rPr>
          <w:lang w:val="en-US"/>
        </w:rPr>
        <w:t xml:space="preserve">.  </w:t>
      </w:r>
    </w:p>
    <w:p w14:paraId="7F2B28CA" w14:textId="4008CC3A" w:rsidR="001068A7" w:rsidRDefault="00531E0A" w:rsidP="001068A7">
      <w:r>
        <w:rPr>
          <w:b/>
        </w:rPr>
        <w:t>O</w:t>
      </w:r>
      <w:r w:rsidR="001068A7" w:rsidRPr="00B84DB2">
        <w:rPr>
          <w:b/>
        </w:rPr>
        <w:t xml:space="preserve">bservation </w:t>
      </w:r>
      <w:r w:rsidR="001068A7">
        <w:rPr>
          <w:b/>
        </w:rPr>
        <w:t>2</w:t>
      </w:r>
      <w:r w:rsidR="001068A7" w:rsidRPr="007A2E55">
        <w:rPr>
          <w:bCs/>
        </w:rPr>
        <w:t>:</w:t>
      </w:r>
      <w:r w:rsidR="001068A7">
        <w:t xml:space="preserve"> VRUs are by far the most exposed</w:t>
      </w:r>
      <w:r>
        <w:t xml:space="preserve"> road users to road risk and road fatalities. </w:t>
      </w:r>
      <w:r w:rsidR="001068A7">
        <w:t xml:space="preserve">    </w:t>
      </w:r>
    </w:p>
    <w:p w14:paraId="56BCA98C" w14:textId="3FE9CFA5" w:rsidR="00531E0A" w:rsidRDefault="00531E0A" w:rsidP="00B7538C">
      <w:pPr>
        <w:rPr>
          <w:lang w:val="en-US"/>
        </w:rPr>
      </w:pPr>
      <w:r>
        <w:lastRenderedPageBreak/>
        <w:t xml:space="preserve">As VRUs typically have larger freedom of movement, VRUs </w:t>
      </w:r>
      <w:r w:rsidR="005A33D4">
        <w:t>may</w:t>
      </w:r>
      <w:r>
        <w:t xml:space="preserve"> enter areas</w:t>
      </w:r>
      <w:r w:rsidR="005A33D4">
        <w:t>,</w:t>
      </w:r>
      <w:r>
        <w:t xml:space="preserve"> which are </w:t>
      </w:r>
      <w:r>
        <w:rPr>
          <w:lang w:val="en-US"/>
        </w:rPr>
        <w:t>not relevant for road safety (e.g. parks, buildings, etc</w:t>
      </w:r>
      <w:r w:rsidR="005A33D4">
        <w:rPr>
          <w:lang w:val="en-US"/>
        </w:rPr>
        <w:t>.</w:t>
      </w:r>
      <w:r>
        <w:rPr>
          <w:lang w:val="en-US"/>
        </w:rPr>
        <w:t>)</w:t>
      </w:r>
      <w:r w:rsidR="005A33D4">
        <w:rPr>
          <w:lang w:val="en-US"/>
        </w:rPr>
        <w:t>. O</w:t>
      </w:r>
      <w:r>
        <w:rPr>
          <w:lang w:val="en-US"/>
        </w:rPr>
        <w:t>n the other hand</w:t>
      </w:r>
      <w:r w:rsidR="005A33D4">
        <w:rPr>
          <w:lang w:val="en-US"/>
        </w:rPr>
        <w:t>,</w:t>
      </w:r>
      <w:r>
        <w:rPr>
          <w:lang w:val="en-US"/>
        </w:rPr>
        <w:t xml:space="preserve"> VRU</w:t>
      </w:r>
      <w:r w:rsidR="005A33D4">
        <w:rPr>
          <w:lang w:val="en-US"/>
        </w:rPr>
        <w:t>s</w:t>
      </w:r>
      <w:r>
        <w:rPr>
          <w:lang w:val="en-US"/>
        </w:rPr>
        <w:t xml:space="preserve"> may move into areas </w:t>
      </w:r>
      <w:r w:rsidR="000452D1">
        <w:rPr>
          <w:lang w:val="en-US"/>
        </w:rPr>
        <w:t xml:space="preserve">that are </w:t>
      </w:r>
      <w:r w:rsidR="006A20ED">
        <w:rPr>
          <w:lang w:val="en-US"/>
        </w:rPr>
        <w:t>relevant</w:t>
      </w:r>
      <w:r w:rsidR="000452D1">
        <w:rPr>
          <w:lang w:val="en-US"/>
        </w:rPr>
        <w:t xml:space="preserve"> the VRUs’ road safety </w:t>
      </w:r>
      <w:r>
        <w:rPr>
          <w:lang w:val="en-US"/>
        </w:rPr>
        <w:t xml:space="preserve">(e.g. </w:t>
      </w:r>
      <w:r w:rsidR="000452D1">
        <w:rPr>
          <w:lang w:val="en-US"/>
        </w:rPr>
        <w:t xml:space="preserve">road, </w:t>
      </w:r>
      <w:r>
        <w:rPr>
          <w:lang w:val="en-US"/>
        </w:rPr>
        <w:t>road crossings,</w:t>
      </w:r>
      <w:r w:rsidR="000452D1">
        <w:rPr>
          <w:lang w:val="en-US"/>
        </w:rPr>
        <w:t xml:space="preserve"> bike lanes</w:t>
      </w:r>
      <w:r>
        <w:rPr>
          <w:lang w:val="en-US"/>
        </w:rPr>
        <w:t xml:space="preserve"> etc</w:t>
      </w:r>
      <w:r w:rsidR="005A33D4">
        <w:rPr>
          <w:lang w:val="en-US"/>
        </w:rPr>
        <w:t>.</w:t>
      </w:r>
      <w:r>
        <w:rPr>
          <w:lang w:val="en-US"/>
        </w:rPr>
        <w:t>)</w:t>
      </w:r>
      <w:r w:rsidR="000452D1">
        <w:rPr>
          <w:lang w:val="en-US"/>
        </w:rPr>
        <w:t xml:space="preserve">. Dependent on the area (the VRU is located) and its associated road safety risk level, different areas may have different requirements for V2X related safety messages as shown in </w:t>
      </w:r>
      <w:r w:rsidR="000452D1">
        <w:t xml:space="preserve">the </w:t>
      </w:r>
      <w:hyperlink r:id="rId20" w:history="1">
        <w:r w:rsidR="000452D1" w:rsidRPr="00072838">
          <w:rPr>
            <w:rStyle w:val="Hyperlink"/>
          </w:rPr>
          <w:t xml:space="preserve">5GAA whitepaper </w:t>
        </w:r>
        <w:r w:rsidR="000452D1" w:rsidRPr="00072838">
          <w:rPr>
            <w:rStyle w:val="Hyperlink"/>
            <w:i/>
            <w:iCs/>
          </w:rPr>
          <w:t>Vulnerable Road User Protection</w:t>
        </w:r>
      </w:hyperlink>
      <w:r w:rsidR="000452D1">
        <w:t xml:space="preserve">. </w:t>
      </w:r>
    </w:p>
    <w:p w14:paraId="7B0B35E3" w14:textId="25E5BED3" w:rsidR="00A6637C" w:rsidRDefault="000452D1" w:rsidP="00B7538C">
      <w:pPr>
        <w:rPr>
          <w:lang w:val="en-US"/>
        </w:rPr>
      </w:pPr>
      <w:r>
        <w:rPr>
          <w:lang w:val="en-US"/>
        </w:rPr>
        <w:t>A VRU located in an area associated with a low road safety risk may have rel</w:t>
      </w:r>
      <w:r w:rsidR="00721371">
        <w:rPr>
          <w:lang w:val="en-US"/>
        </w:rPr>
        <w:t>axed latency requirements with longer SL inactive periods, while a VRU in area associated with a higher road safety risk requires more stringent latency requirements with shorter SL inactive periods in order to receive critical messages (e.g., safety alerts) in time.</w:t>
      </w:r>
    </w:p>
    <w:p w14:paraId="10AD1C0C" w14:textId="4BCE5E57" w:rsidR="00721371" w:rsidRDefault="00721371" w:rsidP="00B7538C">
      <w:r>
        <w:rPr>
          <w:b/>
        </w:rPr>
        <w:t>Proposal</w:t>
      </w:r>
      <w:r w:rsidRPr="00B84DB2">
        <w:rPr>
          <w:b/>
        </w:rPr>
        <w:t xml:space="preserve"> 1</w:t>
      </w:r>
      <w:r w:rsidRPr="007A2E55">
        <w:rPr>
          <w:bCs/>
        </w:rPr>
        <w:t>:</w:t>
      </w:r>
      <w:r>
        <w:t xml:space="preserve"> As the geolocation of a VRU is</w:t>
      </w:r>
      <w:r w:rsidR="00694EC5">
        <w:t xml:space="preserve"> a</w:t>
      </w:r>
      <w:r>
        <w:t xml:space="preserve"> fundamental</w:t>
      </w:r>
      <w:r w:rsidR="00694EC5">
        <w:t xml:space="preserve"> indication</w:t>
      </w:r>
      <w:r>
        <w:t xml:space="preserve"> for its road safety, the SL DRX configuration for VRUs</w:t>
      </w:r>
      <w:r w:rsidR="00B324DE">
        <w:t xml:space="preserve">, </w:t>
      </w:r>
      <w:r w:rsidR="00694EC5">
        <w:t xml:space="preserve">which </w:t>
      </w:r>
      <w:r w:rsidR="00B324DE">
        <w:t xml:space="preserve">directly impacts the latency of the VRU, </w:t>
      </w:r>
      <w:r>
        <w:t>needs to take into account</w:t>
      </w:r>
      <w:r w:rsidR="00694EC5">
        <w:t xml:space="preserve"> the VRU’s</w:t>
      </w:r>
      <w:r w:rsidR="00551AE1">
        <w:t xml:space="preserve"> geolocation.</w:t>
      </w:r>
    </w:p>
    <w:p w14:paraId="452812AE" w14:textId="10F7FCEF" w:rsidR="007A2E55" w:rsidRDefault="00551AE1" w:rsidP="007A2E55">
      <w:r>
        <w:rPr>
          <w:b/>
        </w:rPr>
        <w:t>Proposal</w:t>
      </w:r>
      <w:r w:rsidRPr="00B84DB2">
        <w:rPr>
          <w:b/>
        </w:rPr>
        <w:t xml:space="preserve"> </w:t>
      </w:r>
      <w:r w:rsidR="000D5207">
        <w:rPr>
          <w:b/>
        </w:rPr>
        <w:t>2</w:t>
      </w:r>
      <w:r w:rsidRPr="007A2E55">
        <w:rPr>
          <w:bCs/>
        </w:rPr>
        <w:t>:</w:t>
      </w:r>
      <w:r>
        <w:t xml:space="preserve"> RAN2 to study geolocation and area relevant parameters</w:t>
      </w:r>
      <w:r w:rsidR="00B324DE">
        <w:t xml:space="preserve"> </w:t>
      </w:r>
      <w:r w:rsidR="0077242E">
        <w:t xml:space="preserve">for </w:t>
      </w:r>
      <w:r>
        <w:t>SL DRX (pre</w:t>
      </w:r>
      <w:r w:rsidR="000D5207">
        <w:t>-</w:t>
      </w:r>
      <w:r>
        <w:t>)configuration</w:t>
      </w:r>
      <w:r w:rsidR="0077242E">
        <w:t xml:space="preserve"> of VRUs</w:t>
      </w:r>
      <w:r w:rsidR="00B324DE">
        <w:t>.</w:t>
      </w:r>
      <w:r>
        <w:t xml:space="preserve"> </w:t>
      </w:r>
    </w:p>
    <w:p w14:paraId="7098F90D" w14:textId="7F393BB2" w:rsidR="00A209D6" w:rsidRPr="006E13D1" w:rsidRDefault="00B7538C" w:rsidP="00A209D6">
      <w:pPr>
        <w:pStyle w:val="Heading2"/>
      </w:pPr>
      <w:r>
        <w:t>2</w:t>
      </w:r>
      <w:r w:rsidR="00A209D6" w:rsidRPr="006E13D1">
        <w:t>.2</w:t>
      </w:r>
      <w:r w:rsidR="00A209D6" w:rsidRPr="006E13D1">
        <w:tab/>
      </w:r>
      <w:r w:rsidR="00072838">
        <w:t>Geolocation for SL DRX - Solution</w:t>
      </w:r>
    </w:p>
    <w:p w14:paraId="3CD42518" w14:textId="1A9F4C8F" w:rsidR="001E6C91" w:rsidRDefault="001E6C91" w:rsidP="007A2E55">
      <w:r>
        <w:t>In the following</w:t>
      </w:r>
      <w:r w:rsidR="005A33D4">
        <w:t>,</w:t>
      </w:r>
      <w:r>
        <w:t xml:space="preserve"> we discuss </w:t>
      </w:r>
      <w:r w:rsidR="00BB2C86">
        <w:t>a</w:t>
      </w:r>
      <w:r>
        <w:t xml:space="preserve"> </w:t>
      </w:r>
      <w:r w:rsidR="00BB2C86">
        <w:t xml:space="preserve">simple </w:t>
      </w:r>
      <w:r w:rsidR="00B324DE">
        <w:t>solution</w:t>
      </w:r>
      <w:r>
        <w:t xml:space="preserve"> how to include geolocation for VRUs SL DRX (</w:t>
      </w:r>
      <w:r w:rsidR="005A33D4">
        <w:t>p</w:t>
      </w:r>
      <w:r>
        <w:t>re</w:t>
      </w:r>
      <w:r w:rsidR="005A33D4">
        <w:t>-</w:t>
      </w:r>
      <w:r>
        <w:t>)configuration</w:t>
      </w:r>
      <w:r w:rsidR="00B324DE">
        <w:t xml:space="preserve"> and thereby increase the road safety of VRU</w:t>
      </w:r>
      <w:r>
        <w:t xml:space="preserve">. </w:t>
      </w:r>
    </w:p>
    <w:p w14:paraId="1DCD09C2" w14:textId="2A749A84" w:rsidR="00B324DE" w:rsidRDefault="00694EC5" w:rsidP="007A2E55">
      <w:r>
        <w:t>An</w:t>
      </w:r>
      <w:r w:rsidR="00BB2C86">
        <w:t xml:space="preserve"> option with minimum specification impact i</w:t>
      </w:r>
      <w:r w:rsidR="00B324DE">
        <w:t xml:space="preserve">s to </w:t>
      </w:r>
      <w:r w:rsidR="00BB2C86">
        <w:t>adapt the already existing zone concept in</w:t>
      </w:r>
      <w:r w:rsidR="0076767F">
        <w:t xml:space="preserve"> LTE V2X and</w:t>
      </w:r>
      <w:r w:rsidR="00BB2C86">
        <w:t xml:space="preserve"> NR sidelink </w:t>
      </w:r>
      <w:r w:rsidR="0076767F">
        <w:t xml:space="preserve">for the </w:t>
      </w:r>
      <w:r w:rsidR="00BB2C86">
        <w:t>SL DRX configuration for VRUs. D</w:t>
      </w:r>
      <w:r w:rsidR="00B324DE">
        <w:t>ifferent areas</w:t>
      </w:r>
      <w:r w:rsidR="00BB2C86">
        <w:t>/zones</w:t>
      </w:r>
      <w:r w:rsidR="00B324DE">
        <w:t xml:space="preserve"> accessible to (vulnerable) road users (streets, crossings,</w:t>
      </w:r>
      <w:r w:rsidR="00BB2C86">
        <w:t xml:space="preserve"> railroads, bike lanes</w:t>
      </w:r>
      <w:r w:rsidR="00B324DE">
        <w:t>) are associated with a road safety level</w:t>
      </w:r>
      <w:r w:rsidR="00BB2C86">
        <w:t xml:space="preserve"> that corresponds to a </w:t>
      </w:r>
      <w:r>
        <w:t>(</w:t>
      </w:r>
      <w:r w:rsidR="00BB2C86">
        <w:t>pre</w:t>
      </w:r>
      <w:r>
        <w:t>-)</w:t>
      </w:r>
      <w:r w:rsidR="00BB2C86">
        <w:t>configured SL DRX configuration. Areas with high road risk for VRUs have more stringent SL DRX configurations (longer SL DRX_on duration and shorter SL DRX cycle) whereas areas with lower road risk for VRUs have accordingly relaxed SL DRX configurations (shorter SL DRX_on duration and longer SL DRX cycle). Hence to include geolocation</w:t>
      </w:r>
      <w:r w:rsidR="008545DA">
        <w:t xml:space="preserve">-based SL DRX configuration allows the VRUs to balance </w:t>
      </w:r>
      <w:r w:rsidR="00394DC9">
        <w:t xml:space="preserve">between its demands on </w:t>
      </w:r>
      <w:r w:rsidR="008545DA">
        <w:t>road safety vs.</w:t>
      </w:r>
      <w:r w:rsidR="00394DC9">
        <w:t xml:space="preserve"> its desire for</w:t>
      </w:r>
      <w:r w:rsidR="008545DA">
        <w:t xml:space="preserve"> </w:t>
      </w:r>
      <w:r w:rsidR="00BB2C86">
        <w:t>power saving</w:t>
      </w:r>
      <w:r w:rsidR="008545DA">
        <w:t xml:space="preserve">. </w:t>
      </w:r>
      <w:r w:rsidR="00394DC9">
        <w:t>Obviously,</w:t>
      </w:r>
      <w:r w:rsidR="008545DA">
        <w:t xml:space="preserve"> power saving is detrimental for meeting low latency requirements and thus the VRU need</w:t>
      </w:r>
      <w:r w:rsidR="00394DC9">
        <w:t>s</w:t>
      </w:r>
      <w:r w:rsidR="008545DA">
        <w:t xml:space="preserve"> a trade-off between power saving (in areas with low road risk)</w:t>
      </w:r>
      <w:r w:rsidR="006A20ED">
        <w:t xml:space="preserve"> and low latency (in areas with higher road risk)</w:t>
      </w:r>
      <w:r w:rsidR="00394DC9">
        <w:t>.</w:t>
      </w:r>
      <w:r w:rsidR="00B324DE">
        <w:t xml:space="preserve"> </w:t>
      </w:r>
    </w:p>
    <w:p w14:paraId="4B92D69A" w14:textId="1F02663B" w:rsidR="008545DA" w:rsidRDefault="008545DA" w:rsidP="008545DA">
      <w:r>
        <w:rPr>
          <w:b/>
        </w:rPr>
        <w:t>Proposal</w:t>
      </w:r>
      <w:r w:rsidRPr="00B84DB2">
        <w:rPr>
          <w:b/>
        </w:rPr>
        <w:t xml:space="preserve"> </w:t>
      </w:r>
      <w:r>
        <w:rPr>
          <w:b/>
        </w:rPr>
        <w:t>3</w:t>
      </w:r>
      <w:r w:rsidRPr="007A2E55">
        <w:rPr>
          <w:bCs/>
        </w:rPr>
        <w:t>:</w:t>
      </w:r>
      <w:r>
        <w:t xml:space="preserve"> Geolocation is used to determine SL DRX configuration. </w:t>
      </w:r>
    </w:p>
    <w:p w14:paraId="3A50D3DB" w14:textId="13FABC04" w:rsidR="003810E1" w:rsidRDefault="00CD32E3" w:rsidP="003810E1">
      <w:r>
        <w:t>For minimum specification impact, t</w:t>
      </w:r>
      <w:r w:rsidR="003810E1">
        <w:t>he definition of the VRU safety zones can be based on the existing zone concept in sidelink (section 5.8.1</w:t>
      </w:r>
      <w:r w:rsidR="00237401">
        <w:t>1</w:t>
      </w:r>
      <w:r w:rsidR="003810E1">
        <w:t xml:space="preserve"> in TS38.33</w:t>
      </w:r>
      <w:r w:rsidR="00081D77">
        <w:t>1</w:t>
      </w:r>
      <w:r w:rsidR="003810E1">
        <w:t xml:space="preserve"> for NR sidelink and section</w:t>
      </w:r>
      <w:r w:rsidR="00081D77">
        <w:t xml:space="preserve"> 5.10.13.2</w:t>
      </w:r>
      <w:r w:rsidR="003810E1">
        <w:t xml:space="preserve"> in TS36.331 for LTE V2X)</w:t>
      </w:r>
      <w:r>
        <w:t>, which represents very simple two-dimensional zones (rectangular in LTE V2X and quadratic in NR sidelink)</w:t>
      </w:r>
      <w:r w:rsidR="00432FE3">
        <w:t xml:space="preserve">. </w:t>
      </w:r>
      <w:r>
        <w:t xml:space="preserve">RAN2 might discuss if more advanced VRU zone definition with other shapes (than rectangular) or additional components such height level or slope are necessary to be included. </w:t>
      </w:r>
      <w:r w:rsidR="00432FE3">
        <w:t>However, f</w:t>
      </w:r>
      <w:r>
        <w:t xml:space="preserve">or SL DRX in Rel. 17 the existing </w:t>
      </w:r>
      <w:r w:rsidR="00237401">
        <w:t xml:space="preserve">two-dimensional </w:t>
      </w:r>
      <w:r>
        <w:t xml:space="preserve">zone definition seems sufficient </w:t>
      </w:r>
      <w:r w:rsidR="00432FE3">
        <w:t xml:space="preserve">to be adapted </w:t>
      </w:r>
      <w:r>
        <w:t xml:space="preserve">for the VRU </w:t>
      </w:r>
      <w:r w:rsidR="003D0A8E">
        <w:t xml:space="preserve">safety </w:t>
      </w:r>
      <w:r>
        <w:t>zone definition.</w:t>
      </w:r>
      <w:r w:rsidR="00432FE3">
        <w:t xml:space="preserve"> RAN2 can further discuss the granularity (i.e. value range in m) for the VRU zone length and width – </w:t>
      </w:r>
      <w:r w:rsidR="003D0A8E">
        <w:t xml:space="preserve">the </w:t>
      </w:r>
      <w:hyperlink r:id="rId21" w:history="1">
        <w:r w:rsidR="003D0A8E" w:rsidRPr="003D0A8E">
          <w:rPr>
            <w:rStyle w:val="Hyperlink"/>
          </w:rPr>
          <w:t>5GAA whitepaper</w:t>
        </w:r>
      </w:hyperlink>
      <w:r w:rsidR="003D0A8E" w:rsidRPr="003D0A8E">
        <w:t xml:space="preserve"> </w:t>
      </w:r>
      <w:r w:rsidR="003D0A8E">
        <w:t xml:space="preserve">states 1m positioning KPI for VRUs </w:t>
      </w:r>
      <w:r w:rsidR="0076767F">
        <w:t>whereas the</w:t>
      </w:r>
      <w:r w:rsidR="003D0A8E">
        <w:t xml:space="preserve"> existing </w:t>
      </w:r>
      <w:r w:rsidR="0076767F">
        <w:t xml:space="preserve">minimum </w:t>
      </w:r>
      <w:r w:rsidR="003D0A8E">
        <w:t xml:space="preserve">value </w:t>
      </w:r>
      <w:r w:rsidR="00432FE3">
        <w:t>range</w:t>
      </w:r>
      <w:r w:rsidR="003D0A8E">
        <w:t xml:space="preserve"> for the sidelink zone</w:t>
      </w:r>
      <w:r w:rsidR="0076767F">
        <w:t xml:space="preserve"> is </w:t>
      </w:r>
      <w:r w:rsidR="00432FE3">
        <w:t>5m</w:t>
      </w:r>
      <w:r w:rsidR="003D0A8E">
        <w:t>.</w:t>
      </w:r>
      <w:r w:rsidR="00AA1238">
        <w:t xml:space="preserve"> In contrast to pure geodesic definition of zone in sidelink, the VRU safety zone </w:t>
      </w:r>
      <w:r w:rsidR="00FE3335">
        <w:t>may</w:t>
      </w:r>
      <w:r w:rsidR="00AA1238">
        <w:t xml:space="preserve"> also </w:t>
      </w:r>
      <w:r w:rsidR="00FE3335">
        <w:t xml:space="preserve">need to take into account </w:t>
      </w:r>
      <w:r w:rsidR="00AA1238">
        <w:t>a validity time</w:t>
      </w:r>
      <w:r w:rsidR="00694EC5">
        <w:t>. S</w:t>
      </w:r>
      <w:r w:rsidR="00FE3335">
        <w:t>ince certain areas may have different road traffic patterns (road traffic densities) and hence different road risk levels at different</w:t>
      </w:r>
      <w:r w:rsidR="00081D77">
        <w:t xml:space="preserve"> periods of</w:t>
      </w:r>
      <w:r w:rsidR="00FE3335">
        <w:t xml:space="preserve"> time (e.g. a certain segment of a railroad might only be in use for certain times, certain roads might be closed during night, area closed during construction period etc). </w:t>
      </w:r>
      <w:r w:rsidR="00694EC5">
        <w:t>Thus,</w:t>
      </w:r>
      <w:r w:rsidR="000E2F6D">
        <w:t xml:space="preserve"> the validity time defines when a VRU safety zone is active. </w:t>
      </w:r>
      <w:r w:rsidR="00FE3335">
        <w:t xml:space="preserve">The validity time </w:t>
      </w:r>
      <w:r w:rsidR="000E2F6D">
        <w:t xml:space="preserve">of </w:t>
      </w:r>
      <w:r w:rsidR="00FE3335">
        <w:t>the VRU safety zone can help to increase power saving in time</w:t>
      </w:r>
      <w:r w:rsidR="006A20ED">
        <w:t xml:space="preserve"> periods</w:t>
      </w:r>
      <w:r w:rsidR="00FE3335">
        <w:t xml:space="preserve"> </w:t>
      </w:r>
      <w:r w:rsidR="000E2F6D">
        <w:t>when road traffic is inactive or significantly reduced</w:t>
      </w:r>
      <w:r w:rsidR="00FE3335">
        <w:t>.</w:t>
      </w:r>
      <w:r w:rsidR="00AA1238">
        <w:t xml:space="preserve">  </w:t>
      </w:r>
      <w:r w:rsidR="003D0A8E">
        <w:t xml:space="preserve"> </w:t>
      </w:r>
      <w:r w:rsidR="00432FE3">
        <w:t xml:space="preserve"> </w:t>
      </w:r>
      <w:r w:rsidR="00237401">
        <w:t xml:space="preserve"> </w:t>
      </w:r>
    </w:p>
    <w:p w14:paraId="19AA8F81" w14:textId="21D654CF" w:rsidR="00CD32E3" w:rsidRDefault="00CD32E3" w:rsidP="00CD32E3">
      <w:r>
        <w:rPr>
          <w:b/>
        </w:rPr>
        <w:t>Proposal</w:t>
      </w:r>
      <w:r w:rsidRPr="00B84DB2">
        <w:rPr>
          <w:b/>
        </w:rPr>
        <w:t xml:space="preserve"> </w:t>
      </w:r>
      <w:r>
        <w:rPr>
          <w:b/>
        </w:rPr>
        <w:t>4</w:t>
      </w:r>
      <w:r w:rsidRPr="007A2E55">
        <w:rPr>
          <w:bCs/>
        </w:rPr>
        <w:t>:</w:t>
      </w:r>
      <w:r>
        <w:t xml:space="preserve"> </w:t>
      </w:r>
      <w:r w:rsidR="00694EC5">
        <w:t>F</w:t>
      </w:r>
      <w:r>
        <w:t>or VRU safety zone</w:t>
      </w:r>
      <w:r w:rsidR="00237401">
        <w:t xml:space="preserve"> in Rel</w:t>
      </w:r>
      <w:r w:rsidR="00694EC5">
        <w:t>-</w:t>
      </w:r>
      <w:r w:rsidR="00237401">
        <w:t>17</w:t>
      </w:r>
      <w:r>
        <w:t xml:space="preserve"> </w:t>
      </w:r>
      <w:r w:rsidR="00694EC5">
        <w:t xml:space="preserve">the </w:t>
      </w:r>
      <w:r>
        <w:t>existing</w:t>
      </w:r>
      <w:r w:rsidR="00237401">
        <w:t xml:space="preserve"> two-dimensional </w:t>
      </w:r>
      <w:r>
        <w:t>zone definition for sidelink</w:t>
      </w:r>
      <w:r w:rsidR="00694EC5">
        <w:t xml:space="preserve"> can be used as baseline</w:t>
      </w:r>
      <w:r>
        <w:t>.</w:t>
      </w:r>
    </w:p>
    <w:p w14:paraId="174EEBB1" w14:textId="36805028" w:rsidR="00432FE3" w:rsidRDefault="00432FE3" w:rsidP="00CD32E3">
      <w:r>
        <w:rPr>
          <w:b/>
        </w:rPr>
        <w:t>Proposal</w:t>
      </w:r>
      <w:r w:rsidRPr="00B84DB2">
        <w:rPr>
          <w:b/>
        </w:rPr>
        <w:t xml:space="preserve"> </w:t>
      </w:r>
      <w:r>
        <w:rPr>
          <w:b/>
        </w:rPr>
        <w:t>5</w:t>
      </w:r>
      <w:r w:rsidRPr="007A2E55">
        <w:rPr>
          <w:bCs/>
        </w:rPr>
        <w:t>:</w:t>
      </w:r>
      <w:r>
        <w:t xml:space="preserve"> RAN2 to </w:t>
      </w:r>
      <w:r w:rsidR="003D0A8E">
        <w:t>discuss</w:t>
      </w:r>
      <w:r>
        <w:t xml:space="preserve"> the granularity (i.e. value range in m) for the VRU safety zone length and width. </w:t>
      </w:r>
    </w:p>
    <w:p w14:paraId="738FE8E4" w14:textId="6056CE49" w:rsidR="00694EC5" w:rsidRDefault="00694EC5" w:rsidP="00CD32E3">
      <w:r>
        <w:rPr>
          <w:b/>
        </w:rPr>
        <w:t>Proposal</w:t>
      </w:r>
      <w:r w:rsidRPr="00B84DB2">
        <w:rPr>
          <w:b/>
        </w:rPr>
        <w:t xml:space="preserve"> </w:t>
      </w:r>
      <w:r>
        <w:rPr>
          <w:b/>
        </w:rPr>
        <w:t>6</w:t>
      </w:r>
      <w:r w:rsidRPr="007A2E55">
        <w:rPr>
          <w:bCs/>
        </w:rPr>
        <w:t>:</w:t>
      </w:r>
      <w:r>
        <w:t xml:space="preserve"> RAN2 to discuss if VRU safety zone can be further enhanced considering a third dimension (i.e. height).</w:t>
      </w:r>
    </w:p>
    <w:p w14:paraId="1FACA28F" w14:textId="6AB5F007" w:rsidR="00CD32E3" w:rsidRDefault="00CD32E3" w:rsidP="00CD32E3">
      <w:r>
        <w:rPr>
          <w:b/>
        </w:rPr>
        <w:t>Proposal</w:t>
      </w:r>
      <w:r w:rsidRPr="00B84DB2">
        <w:rPr>
          <w:b/>
        </w:rPr>
        <w:t xml:space="preserve"> </w:t>
      </w:r>
      <w:r w:rsidR="00694EC5">
        <w:rPr>
          <w:b/>
        </w:rPr>
        <w:t>7</w:t>
      </w:r>
      <w:r w:rsidRPr="007A2E55">
        <w:rPr>
          <w:bCs/>
        </w:rPr>
        <w:t>:</w:t>
      </w:r>
      <w:r>
        <w:t xml:space="preserve"> </w:t>
      </w:r>
      <w:r w:rsidR="008C7470">
        <w:t>A V</w:t>
      </w:r>
      <w:r>
        <w:t>RU safety zone is associated with road risk level.</w:t>
      </w:r>
    </w:p>
    <w:p w14:paraId="1474745A" w14:textId="2B9770CA" w:rsidR="000E2F6D" w:rsidRDefault="000E2F6D" w:rsidP="000E2F6D">
      <w:r>
        <w:rPr>
          <w:b/>
        </w:rPr>
        <w:t>Proposal</w:t>
      </w:r>
      <w:r w:rsidRPr="00B84DB2">
        <w:rPr>
          <w:b/>
        </w:rPr>
        <w:t xml:space="preserve"> </w:t>
      </w:r>
      <w:r w:rsidR="00694EC5">
        <w:rPr>
          <w:b/>
        </w:rPr>
        <w:t>8</w:t>
      </w:r>
      <w:r w:rsidRPr="007A2E55">
        <w:rPr>
          <w:bCs/>
        </w:rPr>
        <w:t>:</w:t>
      </w:r>
      <w:r>
        <w:t xml:space="preserve"> A VRU safety zone is associated with validity time.</w:t>
      </w:r>
    </w:p>
    <w:p w14:paraId="3DCACF16" w14:textId="5C2EB2A0" w:rsidR="00E21660" w:rsidRDefault="000E2F6D" w:rsidP="00CD32E3">
      <w:r>
        <w:t xml:space="preserve">A VRU-type UEs in RRC_IDLE or RRC_INACTIVE can rely on </w:t>
      </w:r>
      <w:r w:rsidR="00694EC5">
        <w:t>(</w:t>
      </w:r>
      <w:r>
        <w:t>pre-</w:t>
      </w:r>
      <w:r w:rsidR="00694EC5">
        <w:t>)</w:t>
      </w:r>
      <w:r>
        <w:t>configuration for VRU safety zone-based SL DRX configuration, while UEs in RRC_CONNECTED may also use RRCReconfiguration for VRU safety zone-based SL DRX configuration.</w:t>
      </w:r>
      <w:r w:rsidR="00E21660">
        <w:t xml:space="preserve"> A SL DRX configuration is referring to a (pre</w:t>
      </w:r>
      <w:r w:rsidR="00694EC5">
        <w:t>-</w:t>
      </w:r>
      <w:r w:rsidR="00E21660">
        <w:t xml:space="preserve">)defined VRU safety zone and multiple SL DRX configurations in predefined geographic areas can be </w:t>
      </w:r>
      <w:r w:rsidR="00694EC5">
        <w:t>(</w:t>
      </w:r>
      <w:r w:rsidR="00E21660">
        <w:t>pre-</w:t>
      </w:r>
      <w:r w:rsidR="00694EC5">
        <w:t>)</w:t>
      </w:r>
      <w:r w:rsidR="00E21660">
        <w:t>configured to a VRU UE (i.e. SL DRX configuration A for VRU zone A and SL DRX configuration B for VRU zone B).</w:t>
      </w:r>
    </w:p>
    <w:p w14:paraId="2E78E7F2" w14:textId="4B5D4FDC" w:rsidR="00E21660" w:rsidRDefault="00E21660" w:rsidP="00E21660">
      <w:r>
        <w:rPr>
          <w:b/>
        </w:rPr>
        <w:lastRenderedPageBreak/>
        <w:t>Proposal</w:t>
      </w:r>
      <w:r w:rsidRPr="00B84DB2">
        <w:rPr>
          <w:b/>
        </w:rPr>
        <w:t xml:space="preserve"> </w:t>
      </w:r>
      <w:r w:rsidR="00694EC5">
        <w:rPr>
          <w:b/>
        </w:rPr>
        <w:t>9</w:t>
      </w:r>
      <w:r w:rsidRPr="007A2E55">
        <w:rPr>
          <w:bCs/>
        </w:rPr>
        <w:t>:</w:t>
      </w:r>
      <w:r>
        <w:t xml:space="preserve"> A VRU </w:t>
      </w:r>
      <w:r w:rsidR="006F7F48">
        <w:t>may be</w:t>
      </w:r>
      <w:r>
        <w:t xml:space="preserve"> (pre</w:t>
      </w:r>
      <w:r w:rsidR="003045A6">
        <w:t>-</w:t>
      </w:r>
      <w:r>
        <w:t>)configured with multiple VRU safety zone-based SL DRX configurations.</w:t>
      </w:r>
    </w:p>
    <w:p w14:paraId="7DA0F203" w14:textId="1041FB0C" w:rsidR="00E21660" w:rsidRDefault="00E21660" w:rsidP="00CD32E3">
      <w:r w:rsidRPr="0097368D">
        <w:t>The VRU</w:t>
      </w:r>
      <w:r>
        <w:t xml:space="preserve"> UE</w:t>
      </w:r>
      <w:r w:rsidRPr="0097368D">
        <w:t xml:space="preserve"> will apply the subsequent </w:t>
      </w:r>
      <w:r>
        <w:t xml:space="preserve">SL </w:t>
      </w:r>
      <w:r w:rsidRPr="0097368D">
        <w:t xml:space="preserve">DRX configurations </w:t>
      </w:r>
      <w:r w:rsidR="00E84C22">
        <w:t>for</w:t>
      </w:r>
      <w:r w:rsidRPr="0097368D">
        <w:t xml:space="preserve"> the </w:t>
      </w:r>
      <w:r w:rsidR="00EF4986">
        <w:t>respective</w:t>
      </w:r>
      <w:r w:rsidR="006A20ED">
        <w:t xml:space="preserve"> </w:t>
      </w:r>
      <w:r w:rsidRPr="0097368D">
        <w:t xml:space="preserve">VRU </w:t>
      </w:r>
      <w:r>
        <w:t>safety zone</w:t>
      </w:r>
      <w:r w:rsidRPr="0097368D">
        <w:t xml:space="preserve"> based on its own location</w:t>
      </w:r>
      <w:r>
        <w:t xml:space="preserve">. That allows the VRU to autonomously adapt its SL DRX configuration based on its own location and the road risk associated with the </w:t>
      </w:r>
      <w:r w:rsidR="00871B76">
        <w:t>zone</w:t>
      </w:r>
      <w:r w:rsidR="005A33D4">
        <w:t xml:space="preserve"> </w:t>
      </w:r>
      <w:r w:rsidR="00871B76">
        <w:t>the VRU is located in. The VRU may signal the use of a SL DRX configuration when the VRU is in an active VRU safety zone to the network or a peer UE. When the VRU moves</w:t>
      </w:r>
      <w:r w:rsidR="00081D77">
        <w:t xml:space="preserve"> out</w:t>
      </w:r>
      <w:r w:rsidR="00871B76">
        <w:t xml:space="preserve"> and</w:t>
      </w:r>
      <w:r w:rsidR="00081D77">
        <w:t>/or</w:t>
      </w:r>
      <w:r w:rsidR="00871B76">
        <w:t xml:space="preserve"> enters from one VRU safety zone into another VRU safety zone, the VRU may signal the change of the SL DRX configuration to the network or a peer UE.</w:t>
      </w:r>
    </w:p>
    <w:p w14:paraId="6F1DA6EC" w14:textId="3D3EB7B3" w:rsidR="0076767F" w:rsidRDefault="0076767F" w:rsidP="0076767F">
      <w:r>
        <w:rPr>
          <w:b/>
        </w:rPr>
        <w:t>Proposal</w:t>
      </w:r>
      <w:r w:rsidRPr="00B84DB2">
        <w:rPr>
          <w:b/>
        </w:rPr>
        <w:t xml:space="preserve"> </w:t>
      </w:r>
      <w:r w:rsidR="00694EC5">
        <w:rPr>
          <w:b/>
        </w:rPr>
        <w:t>10</w:t>
      </w:r>
      <w:r w:rsidRPr="007A2E55">
        <w:rPr>
          <w:bCs/>
        </w:rPr>
        <w:t>:</w:t>
      </w:r>
      <w:r>
        <w:t xml:space="preserve"> A VRU selects the SL DRX configuration based on its own position. </w:t>
      </w:r>
    </w:p>
    <w:p w14:paraId="611937D5" w14:textId="48E29C89" w:rsidR="005B1447" w:rsidRDefault="005B1447" w:rsidP="0076767F">
      <w:r>
        <w:rPr>
          <w:b/>
        </w:rPr>
        <w:t>Proposal</w:t>
      </w:r>
      <w:r w:rsidRPr="00B84DB2">
        <w:rPr>
          <w:b/>
        </w:rPr>
        <w:t xml:space="preserve"> </w:t>
      </w:r>
      <w:r>
        <w:rPr>
          <w:b/>
        </w:rPr>
        <w:t>1</w:t>
      </w:r>
      <w:r w:rsidR="00694EC5">
        <w:rPr>
          <w:b/>
        </w:rPr>
        <w:t>1</w:t>
      </w:r>
      <w:r w:rsidRPr="007A2E55">
        <w:rPr>
          <w:bCs/>
        </w:rPr>
        <w:t>:</w:t>
      </w:r>
      <w:r>
        <w:t xml:space="preserve"> A VRU selects the SL DRX configuration based on a change of its position.</w:t>
      </w:r>
    </w:p>
    <w:p w14:paraId="7774CF44" w14:textId="55D70A70" w:rsidR="0076767F" w:rsidRDefault="0076767F" w:rsidP="0076767F">
      <w:r>
        <w:rPr>
          <w:b/>
        </w:rPr>
        <w:t>Proposal</w:t>
      </w:r>
      <w:r w:rsidRPr="00B84DB2">
        <w:rPr>
          <w:b/>
        </w:rPr>
        <w:t xml:space="preserve"> </w:t>
      </w:r>
      <w:r>
        <w:rPr>
          <w:b/>
        </w:rPr>
        <w:t>1</w:t>
      </w:r>
      <w:r w:rsidR="00694EC5">
        <w:rPr>
          <w:b/>
        </w:rPr>
        <w:t>2</w:t>
      </w:r>
      <w:r w:rsidRPr="007A2E55">
        <w:rPr>
          <w:bCs/>
        </w:rPr>
        <w:t>:</w:t>
      </w:r>
      <w:r>
        <w:t xml:space="preserve"> A VRU may signal the use or change of use of a SL DRX configuration to the network or its peer UEs. </w:t>
      </w:r>
    </w:p>
    <w:p w14:paraId="22ECE73D" w14:textId="2F90AF35" w:rsidR="00694EC5" w:rsidRPr="00694EC5" w:rsidRDefault="00694EC5" w:rsidP="00694EC5">
      <w:r w:rsidRPr="00694EC5">
        <w:rPr>
          <w:rFonts w:hint="eastAsia"/>
        </w:rPr>
        <w:t xml:space="preserve">Once a service for any cast type is initiated, the VRU UE has no reference to select the SL DRX configuration. In the beginning of the service, in general, the UE requires the broadcast transmission for the management regardless of cast type. In a unicast link, for instance, the UE broadcasts the </w:t>
      </w:r>
      <w:r w:rsidRPr="00694EC5">
        <w:rPr>
          <w:rFonts w:hint="eastAsia"/>
          <w:i/>
          <w:iCs/>
        </w:rPr>
        <w:t>Direct Communication Request</w:t>
      </w:r>
      <w:r w:rsidRPr="00694EC5">
        <w:rPr>
          <w:rFonts w:hint="eastAsia"/>
        </w:rPr>
        <w:t xml:space="preserve"> to initiate the unicast layer-2 link establishment, and the peer UE feedback</w:t>
      </w:r>
      <w:r>
        <w:t>s</w:t>
      </w:r>
      <w:r w:rsidRPr="00694EC5">
        <w:rPr>
          <w:rFonts w:hint="eastAsia"/>
        </w:rPr>
        <w:t xml:space="preserve"> the response via broadcast as well before the security establishment. Thus, it seems that, the geolocation of VRU UE is more suitable to be considered as a common parameter for the alignment of </w:t>
      </w:r>
      <w:r w:rsidR="00007F39">
        <w:t xml:space="preserve">SL </w:t>
      </w:r>
      <w:r w:rsidRPr="00694EC5">
        <w:rPr>
          <w:rFonts w:hint="eastAsia"/>
        </w:rPr>
        <w:t>DRX wake-up time for any cast type at the initiation stage.</w:t>
      </w:r>
    </w:p>
    <w:p w14:paraId="756FCF85" w14:textId="27436D2C" w:rsidR="00694EC5" w:rsidRDefault="00694EC5" w:rsidP="00694EC5">
      <w:pPr>
        <w:rPr>
          <w:rFonts w:ascii="Yu Gothic" w:eastAsia="Yu Gothic" w:hAnsi="Yu Gothic"/>
          <w:lang w:val="en-US" w:eastAsia="ja-JP"/>
        </w:rPr>
      </w:pPr>
      <w:r w:rsidRPr="00694EC5">
        <w:rPr>
          <w:rFonts w:hint="eastAsia"/>
          <w:b/>
        </w:rPr>
        <w:t>Proposal 1</w:t>
      </w:r>
      <w:r>
        <w:rPr>
          <w:b/>
        </w:rPr>
        <w:t>3</w:t>
      </w:r>
      <w:r w:rsidRPr="00694EC5">
        <w:rPr>
          <w:rFonts w:hint="eastAsia"/>
        </w:rPr>
        <w:t xml:space="preserve">: </w:t>
      </w:r>
      <w:bookmarkStart w:id="0" w:name="_Ref52808280"/>
      <w:r w:rsidRPr="00694EC5">
        <w:rPr>
          <w:rFonts w:hint="eastAsia"/>
        </w:rPr>
        <w:t xml:space="preserve">The geolocation of VRU UE as a common parameter should be utilized to align the </w:t>
      </w:r>
      <w:r w:rsidR="007541AC">
        <w:t xml:space="preserve">SL </w:t>
      </w:r>
      <w:r w:rsidRPr="00694EC5">
        <w:rPr>
          <w:rFonts w:hint="eastAsia"/>
        </w:rPr>
        <w:t>DRX wake-up time for any cast type once a service is initiated.</w:t>
      </w:r>
      <w:bookmarkEnd w:id="0"/>
    </w:p>
    <w:p w14:paraId="5FF2457F" w14:textId="11A84A2C" w:rsidR="00A209D6" w:rsidRPr="006E13D1" w:rsidRDefault="00A209D6" w:rsidP="00A209D6">
      <w:pPr>
        <w:pStyle w:val="Heading1"/>
      </w:pPr>
      <w:r w:rsidRPr="006E13D1">
        <w:t>4</w:t>
      </w:r>
      <w:r w:rsidRPr="006E13D1">
        <w:tab/>
      </w:r>
      <w:r w:rsidR="008C3057">
        <w:t>Conclusion</w:t>
      </w:r>
    </w:p>
    <w:p w14:paraId="56CD4F3E" w14:textId="7D56D905" w:rsidR="006A20ED" w:rsidRDefault="006F7F48" w:rsidP="00A209D6">
      <w:r w:rsidRPr="00B84DB2">
        <w:rPr>
          <w:b/>
        </w:rPr>
        <w:t>Observation 1</w:t>
      </w:r>
      <w:r w:rsidRPr="007A2E55">
        <w:rPr>
          <w:bCs/>
        </w:rPr>
        <w:t>:</w:t>
      </w:r>
      <w:r>
        <w:t xml:space="preserve"> While vehicular type of UEs may not need power saving for NR sidelink operation, the Rel-17 WI NR sidelink enhancements explicitly targets VRUs for SL DRX.</w:t>
      </w:r>
    </w:p>
    <w:p w14:paraId="00F9A674" w14:textId="55961758" w:rsidR="006F7F48" w:rsidRDefault="006F7F48" w:rsidP="006F7F48">
      <w:r>
        <w:rPr>
          <w:b/>
        </w:rPr>
        <w:t>O</w:t>
      </w:r>
      <w:r w:rsidRPr="00B84DB2">
        <w:rPr>
          <w:b/>
        </w:rPr>
        <w:t xml:space="preserve">bservation </w:t>
      </w:r>
      <w:r>
        <w:rPr>
          <w:b/>
        </w:rPr>
        <w:t>2</w:t>
      </w:r>
      <w:r w:rsidRPr="007A2E55">
        <w:rPr>
          <w:bCs/>
        </w:rPr>
        <w:t>:</w:t>
      </w:r>
      <w:r>
        <w:t xml:space="preserve"> VRUs are by far the most exposed road users to road risk and road fatalities.     </w:t>
      </w:r>
    </w:p>
    <w:p w14:paraId="20778F6A" w14:textId="77777777" w:rsidR="006F7F48" w:rsidRDefault="006F7F48" w:rsidP="006F7F48">
      <w:r>
        <w:rPr>
          <w:b/>
        </w:rPr>
        <w:t>Proposal</w:t>
      </w:r>
      <w:r w:rsidRPr="00B84DB2">
        <w:rPr>
          <w:b/>
        </w:rPr>
        <w:t xml:space="preserve"> 1</w:t>
      </w:r>
      <w:r w:rsidRPr="007A2E55">
        <w:rPr>
          <w:bCs/>
        </w:rPr>
        <w:t>:</w:t>
      </w:r>
      <w:r>
        <w:t xml:space="preserve"> As the geolocation of a VRU is a fundamental indication for its road safety, the SL DRX configuration for VRUs, which directly impacts the latency of the VRU, needs to take into account the VRU’s geolocation.</w:t>
      </w:r>
    </w:p>
    <w:p w14:paraId="722E9AE8" w14:textId="7381EDCB" w:rsidR="006F7F48" w:rsidRDefault="006F7F48" w:rsidP="006F7F48">
      <w:r>
        <w:rPr>
          <w:b/>
        </w:rPr>
        <w:t>Proposal</w:t>
      </w:r>
      <w:r w:rsidRPr="00B84DB2">
        <w:rPr>
          <w:b/>
        </w:rPr>
        <w:t xml:space="preserve"> </w:t>
      </w:r>
      <w:r>
        <w:rPr>
          <w:b/>
        </w:rPr>
        <w:t>2</w:t>
      </w:r>
      <w:r w:rsidRPr="007A2E55">
        <w:rPr>
          <w:bCs/>
        </w:rPr>
        <w:t>:</w:t>
      </w:r>
      <w:r>
        <w:t xml:space="preserve"> RAN2 to study geolocation and area relevant parameters for SL DRX (pre-)configuration of VRUs.</w:t>
      </w:r>
    </w:p>
    <w:p w14:paraId="577FA1F1" w14:textId="77777777" w:rsidR="006F7F48" w:rsidRDefault="006F7F48" w:rsidP="006F7F48">
      <w:r>
        <w:rPr>
          <w:b/>
        </w:rPr>
        <w:t>Proposal</w:t>
      </w:r>
      <w:r w:rsidRPr="00B84DB2">
        <w:rPr>
          <w:b/>
        </w:rPr>
        <w:t xml:space="preserve"> </w:t>
      </w:r>
      <w:r>
        <w:rPr>
          <w:b/>
        </w:rPr>
        <w:t>3</w:t>
      </w:r>
      <w:r w:rsidRPr="007A2E55">
        <w:rPr>
          <w:bCs/>
        </w:rPr>
        <w:t>:</w:t>
      </w:r>
      <w:r>
        <w:t xml:space="preserve"> Geolocation is used to determine SL DRX configuration. </w:t>
      </w:r>
    </w:p>
    <w:p w14:paraId="3386B301" w14:textId="77777777" w:rsidR="006F7F48" w:rsidRDefault="006F7F48" w:rsidP="006F7F48">
      <w:r>
        <w:rPr>
          <w:b/>
        </w:rPr>
        <w:t>Proposal</w:t>
      </w:r>
      <w:r w:rsidRPr="00B84DB2">
        <w:rPr>
          <w:b/>
        </w:rPr>
        <w:t xml:space="preserve"> </w:t>
      </w:r>
      <w:r>
        <w:rPr>
          <w:b/>
        </w:rPr>
        <w:t>4</w:t>
      </w:r>
      <w:r w:rsidRPr="007A2E55">
        <w:rPr>
          <w:bCs/>
        </w:rPr>
        <w:t>:</w:t>
      </w:r>
      <w:r>
        <w:t xml:space="preserve"> For VRU safety zone in Rel-17 the existing two-dimensional zone definition for sidelink can be used as baseline.</w:t>
      </w:r>
    </w:p>
    <w:p w14:paraId="518DFAD7" w14:textId="77777777" w:rsidR="006F7F48" w:rsidRDefault="006F7F48" w:rsidP="006F7F48">
      <w:r>
        <w:rPr>
          <w:b/>
        </w:rPr>
        <w:t>Proposal</w:t>
      </w:r>
      <w:r w:rsidRPr="00B84DB2">
        <w:rPr>
          <w:b/>
        </w:rPr>
        <w:t xml:space="preserve"> </w:t>
      </w:r>
      <w:r>
        <w:rPr>
          <w:b/>
        </w:rPr>
        <w:t>5</w:t>
      </w:r>
      <w:r w:rsidRPr="007A2E55">
        <w:rPr>
          <w:bCs/>
        </w:rPr>
        <w:t>:</w:t>
      </w:r>
      <w:r>
        <w:t xml:space="preserve"> RAN2 to discuss the granularity (i.e. value range in m) for the VRU safety zone length and width. </w:t>
      </w:r>
    </w:p>
    <w:p w14:paraId="4EDCDCE7" w14:textId="77777777" w:rsidR="006F7F48" w:rsidRDefault="006F7F48" w:rsidP="006F7F48">
      <w:r>
        <w:rPr>
          <w:b/>
        </w:rPr>
        <w:t>Proposal</w:t>
      </w:r>
      <w:r w:rsidRPr="00B84DB2">
        <w:rPr>
          <w:b/>
        </w:rPr>
        <w:t xml:space="preserve"> </w:t>
      </w:r>
      <w:r>
        <w:rPr>
          <w:b/>
        </w:rPr>
        <w:t>6</w:t>
      </w:r>
      <w:r w:rsidRPr="007A2E55">
        <w:rPr>
          <w:bCs/>
        </w:rPr>
        <w:t>:</w:t>
      </w:r>
      <w:r>
        <w:t xml:space="preserve"> RAN2 to discuss if VRU safety zone can be further enhanced considering a third dimension (i.e. height).</w:t>
      </w:r>
    </w:p>
    <w:p w14:paraId="0A1358BF" w14:textId="77777777" w:rsidR="006F7F48" w:rsidRDefault="006F7F48" w:rsidP="006F7F48">
      <w:r>
        <w:rPr>
          <w:b/>
        </w:rPr>
        <w:t>Proposal</w:t>
      </w:r>
      <w:r w:rsidRPr="00B84DB2">
        <w:rPr>
          <w:b/>
        </w:rPr>
        <w:t xml:space="preserve"> </w:t>
      </w:r>
      <w:r>
        <w:rPr>
          <w:b/>
        </w:rPr>
        <w:t>7</w:t>
      </w:r>
      <w:r w:rsidRPr="007A2E55">
        <w:rPr>
          <w:bCs/>
        </w:rPr>
        <w:t>:</w:t>
      </w:r>
      <w:r>
        <w:t xml:space="preserve"> A VRU safety zone is associated with road risk level.</w:t>
      </w:r>
    </w:p>
    <w:p w14:paraId="23404E29" w14:textId="77777777" w:rsidR="006F7F48" w:rsidRDefault="006F7F48" w:rsidP="006F7F48">
      <w:r>
        <w:rPr>
          <w:b/>
        </w:rPr>
        <w:t>Proposal</w:t>
      </w:r>
      <w:r w:rsidRPr="00B84DB2">
        <w:rPr>
          <w:b/>
        </w:rPr>
        <w:t xml:space="preserve"> </w:t>
      </w:r>
      <w:r>
        <w:rPr>
          <w:b/>
        </w:rPr>
        <w:t>8</w:t>
      </w:r>
      <w:r w:rsidRPr="007A2E55">
        <w:rPr>
          <w:bCs/>
        </w:rPr>
        <w:t>:</w:t>
      </w:r>
      <w:r>
        <w:t xml:space="preserve"> A VRU safety zone is associated with validity time.</w:t>
      </w:r>
    </w:p>
    <w:p w14:paraId="66CFAE4D" w14:textId="77777777" w:rsidR="006F7F48" w:rsidRDefault="006F7F48" w:rsidP="006F7F48">
      <w:r>
        <w:rPr>
          <w:b/>
        </w:rPr>
        <w:t>Proposal</w:t>
      </w:r>
      <w:r w:rsidRPr="00B84DB2">
        <w:rPr>
          <w:b/>
        </w:rPr>
        <w:t xml:space="preserve"> </w:t>
      </w:r>
      <w:r>
        <w:rPr>
          <w:b/>
        </w:rPr>
        <w:t>9</w:t>
      </w:r>
      <w:r w:rsidRPr="007A2E55">
        <w:rPr>
          <w:bCs/>
        </w:rPr>
        <w:t>:</w:t>
      </w:r>
      <w:r>
        <w:t xml:space="preserve"> A VRU may be (pre-)configured with multiple VRU safety zone-based SL DRX configurations.</w:t>
      </w:r>
    </w:p>
    <w:p w14:paraId="6E4ADE56" w14:textId="77777777" w:rsidR="006F7F48" w:rsidRDefault="006F7F48" w:rsidP="006F7F48">
      <w:r>
        <w:rPr>
          <w:b/>
        </w:rPr>
        <w:t>Proposal</w:t>
      </w:r>
      <w:r w:rsidRPr="00B84DB2">
        <w:rPr>
          <w:b/>
        </w:rPr>
        <w:t xml:space="preserve"> </w:t>
      </w:r>
      <w:r>
        <w:rPr>
          <w:b/>
        </w:rPr>
        <w:t>10</w:t>
      </w:r>
      <w:r w:rsidRPr="007A2E55">
        <w:rPr>
          <w:bCs/>
        </w:rPr>
        <w:t>:</w:t>
      </w:r>
      <w:r>
        <w:t xml:space="preserve"> A VRU selects the SL DRX configuration based on its own position. </w:t>
      </w:r>
    </w:p>
    <w:p w14:paraId="49406BFF" w14:textId="77777777" w:rsidR="006F7F48" w:rsidRDefault="006F7F48" w:rsidP="006F7F48">
      <w:r>
        <w:rPr>
          <w:b/>
        </w:rPr>
        <w:t>Proposal</w:t>
      </w:r>
      <w:r w:rsidRPr="00B84DB2">
        <w:rPr>
          <w:b/>
        </w:rPr>
        <w:t xml:space="preserve"> </w:t>
      </w:r>
      <w:r>
        <w:rPr>
          <w:b/>
        </w:rPr>
        <w:t>11</w:t>
      </w:r>
      <w:r w:rsidRPr="007A2E55">
        <w:rPr>
          <w:bCs/>
        </w:rPr>
        <w:t>:</w:t>
      </w:r>
      <w:r>
        <w:t xml:space="preserve"> A VRU selects the SL DRX configuration based on a change of its position.</w:t>
      </w:r>
    </w:p>
    <w:p w14:paraId="477BFF10" w14:textId="77777777" w:rsidR="006F7F48" w:rsidRDefault="006F7F48" w:rsidP="006F7F48">
      <w:r>
        <w:rPr>
          <w:b/>
        </w:rPr>
        <w:t>Proposal</w:t>
      </w:r>
      <w:r w:rsidRPr="00B84DB2">
        <w:rPr>
          <w:b/>
        </w:rPr>
        <w:t xml:space="preserve"> </w:t>
      </w:r>
      <w:r>
        <w:rPr>
          <w:b/>
        </w:rPr>
        <w:t>12</w:t>
      </w:r>
      <w:r w:rsidRPr="007A2E55">
        <w:rPr>
          <w:bCs/>
        </w:rPr>
        <w:t>:</w:t>
      </w:r>
      <w:r>
        <w:t xml:space="preserve"> A VRU may signal the use or change of use of a SL DRX configuration to the network or its peer UEs. </w:t>
      </w:r>
    </w:p>
    <w:p w14:paraId="5A8C6806" w14:textId="0C703674" w:rsidR="006F7F48" w:rsidRPr="00A209D6" w:rsidRDefault="006F7F48" w:rsidP="006F7F48">
      <w:r w:rsidRPr="00694EC5">
        <w:rPr>
          <w:rFonts w:hint="eastAsia"/>
          <w:b/>
        </w:rPr>
        <w:t>Proposal 1</w:t>
      </w:r>
      <w:r>
        <w:rPr>
          <w:b/>
        </w:rPr>
        <w:t>3</w:t>
      </w:r>
      <w:r w:rsidRPr="00694EC5">
        <w:rPr>
          <w:rFonts w:hint="eastAsia"/>
        </w:rPr>
        <w:t xml:space="preserve">: The geolocation of VRU UE as a common parameter should be utilized to align the </w:t>
      </w:r>
      <w:r w:rsidR="007541AC">
        <w:t xml:space="preserve">SL </w:t>
      </w:r>
      <w:r w:rsidRPr="00694EC5">
        <w:rPr>
          <w:rFonts w:hint="eastAsia"/>
        </w:rPr>
        <w:t>DRX wake-up time for any cast type once a service is initiated.</w:t>
      </w:r>
    </w:p>
    <w:sectPr w:rsidR="006F7F48"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75B4C" w14:textId="77777777" w:rsidR="006636A8" w:rsidRDefault="006636A8">
      <w:r>
        <w:separator/>
      </w:r>
    </w:p>
  </w:endnote>
  <w:endnote w:type="continuationSeparator" w:id="0">
    <w:p w14:paraId="740AF92B" w14:textId="77777777" w:rsidR="006636A8" w:rsidRDefault="006636A8">
      <w:r>
        <w:continuationSeparator/>
      </w:r>
    </w:p>
  </w:endnote>
  <w:endnote w:type="continuationNotice" w:id="1">
    <w:p w14:paraId="4F4FF706" w14:textId="77777777" w:rsidR="006636A8" w:rsidRDefault="00663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AE382" w14:textId="77777777" w:rsidR="006636A8" w:rsidRDefault="006636A8">
      <w:r>
        <w:separator/>
      </w:r>
    </w:p>
  </w:footnote>
  <w:footnote w:type="continuationSeparator" w:id="0">
    <w:p w14:paraId="4FEFA11B" w14:textId="77777777" w:rsidR="006636A8" w:rsidRDefault="006636A8">
      <w:r>
        <w:continuationSeparator/>
      </w:r>
    </w:p>
  </w:footnote>
  <w:footnote w:type="continuationNotice" w:id="1">
    <w:p w14:paraId="3F4EE035" w14:textId="77777777" w:rsidR="006636A8" w:rsidRDefault="006636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F39"/>
    <w:rsid w:val="00016557"/>
    <w:rsid w:val="00023C40"/>
    <w:rsid w:val="00033397"/>
    <w:rsid w:val="00035570"/>
    <w:rsid w:val="00040095"/>
    <w:rsid w:val="000452D1"/>
    <w:rsid w:val="00072838"/>
    <w:rsid w:val="00073C9C"/>
    <w:rsid w:val="00080512"/>
    <w:rsid w:val="00081D77"/>
    <w:rsid w:val="00090468"/>
    <w:rsid w:val="00094568"/>
    <w:rsid w:val="000B7BCF"/>
    <w:rsid w:val="000C522B"/>
    <w:rsid w:val="000D5207"/>
    <w:rsid w:val="000D58AB"/>
    <w:rsid w:val="000E2F6D"/>
    <w:rsid w:val="001068A7"/>
    <w:rsid w:val="00112F1A"/>
    <w:rsid w:val="00145075"/>
    <w:rsid w:val="001741A0"/>
    <w:rsid w:val="00175FA0"/>
    <w:rsid w:val="00194CD0"/>
    <w:rsid w:val="001B49C9"/>
    <w:rsid w:val="001C23F4"/>
    <w:rsid w:val="001C4F79"/>
    <w:rsid w:val="001E6C91"/>
    <w:rsid w:val="001F168B"/>
    <w:rsid w:val="001F7831"/>
    <w:rsid w:val="00204045"/>
    <w:rsid w:val="0020696E"/>
    <w:rsid w:val="0020712B"/>
    <w:rsid w:val="0022606D"/>
    <w:rsid w:val="00231728"/>
    <w:rsid w:val="00237401"/>
    <w:rsid w:val="00244A05"/>
    <w:rsid w:val="00250404"/>
    <w:rsid w:val="002610D8"/>
    <w:rsid w:val="002747EC"/>
    <w:rsid w:val="002855BF"/>
    <w:rsid w:val="002F0D22"/>
    <w:rsid w:val="003045A6"/>
    <w:rsid w:val="00305FFF"/>
    <w:rsid w:val="00311B17"/>
    <w:rsid w:val="003172DC"/>
    <w:rsid w:val="00325AE3"/>
    <w:rsid w:val="00326069"/>
    <w:rsid w:val="0035462D"/>
    <w:rsid w:val="0036459E"/>
    <w:rsid w:val="00364B41"/>
    <w:rsid w:val="003810E1"/>
    <w:rsid w:val="00383096"/>
    <w:rsid w:val="0039346C"/>
    <w:rsid w:val="00394DC9"/>
    <w:rsid w:val="003A41EF"/>
    <w:rsid w:val="003B40AD"/>
    <w:rsid w:val="003C4E37"/>
    <w:rsid w:val="003D0A8E"/>
    <w:rsid w:val="003E16BE"/>
    <w:rsid w:val="003F4E28"/>
    <w:rsid w:val="004006E8"/>
    <w:rsid w:val="00401855"/>
    <w:rsid w:val="004275F4"/>
    <w:rsid w:val="00432FE3"/>
    <w:rsid w:val="00445A80"/>
    <w:rsid w:val="00460239"/>
    <w:rsid w:val="00465587"/>
    <w:rsid w:val="00470C66"/>
    <w:rsid w:val="00477455"/>
    <w:rsid w:val="004A1F7B"/>
    <w:rsid w:val="004C44D2"/>
    <w:rsid w:val="004D3578"/>
    <w:rsid w:val="004D380D"/>
    <w:rsid w:val="004E213A"/>
    <w:rsid w:val="004F4540"/>
    <w:rsid w:val="004F73A7"/>
    <w:rsid w:val="00503171"/>
    <w:rsid w:val="00506C28"/>
    <w:rsid w:val="00531E0A"/>
    <w:rsid w:val="00534DA0"/>
    <w:rsid w:val="00543E6C"/>
    <w:rsid w:val="00551AE1"/>
    <w:rsid w:val="00565087"/>
    <w:rsid w:val="0056573F"/>
    <w:rsid w:val="00571279"/>
    <w:rsid w:val="005A33D4"/>
    <w:rsid w:val="005A48D5"/>
    <w:rsid w:val="005A49C6"/>
    <w:rsid w:val="005B1447"/>
    <w:rsid w:val="005E1056"/>
    <w:rsid w:val="005E1388"/>
    <w:rsid w:val="00611566"/>
    <w:rsid w:val="006178F4"/>
    <w:rsid w:val="00646D99"/>
    <w:rsid w:val="00656910"/>
    <w:rsid w:val="006574C0"/>
    <w:rsid w:val="006636A8"/>
    <w:rsid w:val="00694EC5"/>
    <w:rsid w:val="00696821"/>
    <w:rsid w:val="006A20ED"/>
    <w:rsid w:val="006C1A51"/>
    <w:rsid w:val="006C66D8"/>
    <w:rsid w:val="006D1E24"/>
    <w:rsid w:val="006D35DE"/>
    <w:rsid w:val="006E1417"/>
    <w:rsid w:val="006F6A2C"/>
    <w:rsid w:val="006F7F48"/>
    <w:rsid w:val="007069DC"/>
    <w:rsid w:val="00710201"/>
    <w:rsid w:val="0072073A"/>
    <w:rsid w:val="00721371"/>
    <w:rsid w:val="007342B5"/>
    <w:rsid w:val="00734A5B"/>
    <w:rsid w:val="00744E76"/>
    <w:rsid w:val="007541AC"/>
    <w:rsid w:val="00757D40"/>
    <w:rsid w:val="007662B5"/>
    <w:rsid w:val="0076767F"/>
    <w:rsid w:val="0077242E"/>
    <w:rsid w:val="00781F0F"/>
    <w:rsid w:val="0078727C"/>
    <w:rsid w:val="0079049D"/>
    <w:rsid w:val="00793DC5"/>
    <w:rsid w:val="00796823"/>
    <w:rsid w:val="007A2E55"/>
    <w:rsid w:val="007B18D8"/>
    <w:rsid w:val="007B726D"/>
    <w:rsid w:val="007C095F"/>
    <w:rsid w:val="007C2DD0"/>
    <w:rsid w:val="007F2E08"/>
    <w:rsid w:val="00800AB9"/>
    <w:rsid w:val="008028A4"/>
    <w:rsid w:val="0081274A"/>
    <w:rsid w:val="00813245"/>
    <w:rsid w:val="00840DE0"/>
    <w:rsid w:val="008430DD"/>
    <w:rsid w:val="008545DA"/>
    <w:rsid w:val="008607A8"/>
    <w:rsid w:val="0086354A"/>
    <w:rsid w:val="00871B76"/>
    <w:rsid w:val="008768CA"/>
    <w:rsid w:val="00877EF9"/>
    <w:rsid w:val="00880559"/>
    <w:rsid w:val="008B5306"/>
    <w:rsid w:val="008B7C4A"/>
    <w:rsid w:val="008C2E2A"/>
    <w:rsid w:val="008C3057"/>
    <w:rsid w:val="008C542A"/>
    <w:rsid w:val="008C7470"/>
    <w:rsid w:val="008D2B61"/>
    <w:rsid w:val="008D2E4D"/>
    <w:rsid w:val="008F396F"/>
    <w:rsid w:val="008F3DCD"/>
    <w:rsid w:val="0090271F"/>
    <w:rsid w:val="00902DB9"/>
    <w:rsid w:val="0090466A"/>
    <w:rsid w:val="00923655"/>
    <w:rsid w:val="00936071"/>
    <w:rsid w:val="009376CD"/>
    <w:rsid w:val="00940212"/>
    <w:rsid w:val="00942EC2"/>
    <w:rsid w:val="009558C1"/>
    <w:rsid w:val="00961B32"/>
    <w:rsid w:val="00962509"/>
    <w:rsid w:val="00962E44"/>
    <w:rsid w:val="00970DB3"/>
    <w:rsid w:val="00971375"/>
    <w:rsid w:val="00974BB0"/>
    <w:rsid w:val="00975BCD"/>
    <w:rsid w:val="009928A9"/>
    <w:rsid w:val="009A0AF3"/>
    <w:rsid w:val="009A368D"/>
    <w:rsid w:val="009B07CD"/>
    <w:rsid w:val="009C19E9"/>
    <w:rsid w:val="009D74A6"/>
    <w:rsid w:val="009E0E87"/>
    <w:rsid w:val="00A10F02"/>
    <w:rsid w:val="00A204CA"/>
    <w:rsid w:val="00A209D6"/>
    <w:rsid w:val="00A22738"/>
    <w:rsid w:val="00A326F3"/>
    <w:rsid w:val="00A430EC"/>
    <w:rsid w:val="00A437EA"/>
    <w:rsid w:val="00A53724"/>
    <w:rsid w:val="00A54B2B"/>
    <w:rsid w:val="00A57AC9"/>
    <w:rsid w:val="00A63282"/>
    <w:rsid w:val="00A6637C"/>
    <w:rsid w:val="00A82346"/>
    <w:rsid w:val="00A93314"/>
    <w:rsid w:val="00A9671C"/>
    <w:rsid w:val="00AA1238"/>
    <w:rsid w:val="00AA1553"/>
    <w:rsid w:val="00B05380"/>
    <w:rsid w:val="00B05962"/>
    <w:rsid w:val="00B15449"/>
    <w:rsid w:val="00B16C2F"/>
    <w:rsid w:val="00B27303"/>
    <w:rsid w:val="00B324DE"/>
    <w:rsid w:val="00B47FD1"/>
    <w:rsid w:val="00B516BB"/>
    <w:rsid w:val="00B52B50"/>
    <w:rsid w:val="00B7538C"/>
    <w:rsid w:val="00B84DB2"/>
    <w:rsid w:val="00BB2C86"/>
    <w:rsid w:val="00BC3555"/>
    <w:rsid w:val="00C12B51"/>
    <w:rsid w:val="00C202DB"/>
    <w:rsid w:val="00C24650"/>
    <w:rsid w:val="00C25465"/>
    <w:rsid w:val="00C32D61"/>
    <w:rsid w:val="00C33079"/>
    <w:rsid w:val="00C51D7D"/>
    <w:rsid w:val="00C55A12"/>
    <w:rsid w:val="00C6553E"/>
    <w:rsid w:val="00C83A13"/>
    <w:rsid w:val="00C86F10"/>
    <w:rsid w:val="00C9068C"/>
    <w:rsid w:val="00C92967"/>
    <w:rsid w:val="00C9597F"/>
    <w:rsid w:val="00CA3D0C"/>
    <w:rsid w:val="00CA654B"/>
    <w:rsid w:val="00CB72B8"/>
    <w:rsid w:val="00CD0BA8"/>
    <w:rsid w:val="00CD32E3"/>
    <w:rsid w:val="00CD4C7B"/>
    <w:rsid w:val="00CD58FE"/>
    <w:rsid w:val="00D33BE3"/>
    <w:rsid w:val="00D3792D"/>
    <w:rsid w:val="00D55E47"/>
    <w:rsid w:val="00D62E19"/>
    <w:rsid w:val="00D67CD1"/>
    <w:rsid w:val="00D738D6"/>
    <w:rsid w:val="00D73B7A"/>
    <w:rsid w:val="00D80795"/>
    <w:rsid w:val="00D854BE"/>
    <w:rsid w:val="00D87E00"/>
    <w:rsid w:val="00D9134D"/>
    <w:rsid w:val="00D9266E"/>
    <w:rsid w:val="00D96D11"/>
    <w:rsid w:val="00DA7A03"/>
    <w:rsid w:val="00DB0DB8"/>
    <w:rsid w:val="00DB1818"/>
    <w:rsid w:val="00DC309B"/>
    <w:rsid w:val="00DC4DA2"/>
    <w:rsid w:val="00DC5261"/>
    <w:rsid w:val="00DE25D2"/>
    <w:rsid w:val="00E21660"/>
    <w:rsid w:val="00E46C08"/>
    <w:rsid w:val="00E471CF"/>
    <w:rsid w:val="00E62835"/>
    <w:rsid w:val="00E77645"/>
    <w:rsid w:val="00E812DC"/>
    <w:rsid w:val="00E83697"/>
    <w:rsid w:val="00E84C22"/>
    <w:rsid w:val="00E859B6"/>
    <w:rsid w:val="00EA46E3"/>
    <w:rsid w:val="00EA66C9"/>
    <w:rsid w:val="00EC4A25"/>
    <w:rsid w:val="00EE4A91"/>
    <w:rsid w:val="00EF4986"/>
    <w:rsid w:val="00EF612C"/>
    <w:rsid w:val="00F025A2"/>
    <w:rsid w:val="00F036E9"/>
    <w:rsid w:val="00F07388"/>
    <w:rsid w:val="00F2026E"/>
    <w:rsid w:val="00F2210A"/>
    <w:rsid w:val="00F3052C"/>
    <w:rsid w:val="00F31372"/>
    <w:rsid w:val="00F37743"/>
    <w:rsid w:val="00F50A98"/>
    <w:rsid w:val="00F54A3D"/>
    <w:rsid w:val="00F54CB0"/>
    <w:rsid w:val="00F579CD"/>
    <w:rsid w:val="00F653B8"/>
    <w:rsid w:val="00F71B89"/>
    <w:rsid w:val="00F7353C"/>
    <w:rsid w:val="00F76F8F"/>
    <w:rsid w:val="00F941DF"/>
    <w:rsid w:val="00F97A8D"/>
    <w:rsid w:val="00FA1266"/>
    <w:rsid w:val="00FB36FA"/>
    <w:rsid w:val="00FC1192"/>
    <w:rsid w:val="00FE106D"/>
    <w:rsid w:val="00FE251B"/>
    <w:rsid w:val="00FE33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3GPPNormalText">
    <w:name w:val="3GPP Normal Text"/>
    <w:basedOn w:val="BodyText"/>
    <w:link w:val="3GPPNormalTextChar"/>
    <w:qFormat/>
    <w:rsid w:val="006C1A51"/>
    <w:rPr>
      <w:rFonts w:eastAsia="SimSun"/>
    </w:rPr>
  </w:style>
  <w:style w:type="character" w:customStyle="1" w:styleId="3GPPNormalTextChar">
    <w:name w:val="3GPP Normal Text Char"/>
    <w:link w:val="3GPPNormalText"/>
    <w:rsid w:val="006C1A51"/>
    <w:rPr>
      <w:rFonts w:eastAsia="SimSun"/>
      <w:lang w:eastAsia="en-US"/>
    </w:rPr>
  </w:style>
  <w:style w:type="paragraph" w:styleId="BodyText">
    <w:name w:val="Body Text"/>
    <w:basedOn w:val="Normal"/>
    <w:link w:val="BodyTextChar"/>
    <w:rsid w:val="006C1A51"/>
    <w:pPr>
      <w:spacing w:after="120"/>
    </w:pPr>
  </w:style>
  <w:style w:type="character" w:customStyle="1" w:styleId="BodyTextChar">
    <w:name w:val="Body Text Char"/>
    <w:basedOn w:val="DefaultParagraphFont"/>
    <w:link w:val="BodyText"/>
    <w:rsid w:val="006C1A51"/>
    <w:rPr>
      <w:lang w:eastAsia="en-US"/>
    </w:rPr>
  </w:style>
  <w:style w:type="character" w:styleId="FollowedHyperlink">
    <w:name w:val="FollowedHyperlink"/>
    <w:basedOn w:val="DefaultParagraphFont"/>
    <w:rsid w:val="00B52B50"/>
    <w:rPr>
      <w:color w:val="954F72" w:themeColor="followedHyperlink"/>
      <w:u w:val="single"/>
    </w:rPr>
  </w:style>
  <w:style w:type="character" w:styleId="CommentReference">
    <w:name w:val="annotation reference"/>
    <w:rsid w:val="001068A7"/>
    <w:rPr>
      <w:sz w:val="16"/>
      <w:szCs w:val="16"/>
    </w:rPr>
  </w:style>
  <w:style w:type="paragraph" w:styleId="CommentText">
    <w:name w:val="annotation text"/>
    <w:basedOn w:val="Normal"/>
    <w:link w:val="CommentTextChar"/>
    <w:rsid w:val="001068A7"/>
    <w:pPr>
      <w:spacing w:after="0"/>
    </w:pPr>
    <w:rPr>
      <w:rFonts w:ascii="Arial" w:hAnsi="Arial"/>
    </w:rPr>
  </w:style>
  <w:style w:type="character" w:customStyle="1" w:styleId="CommentTextChar">
    <w:name w:val="Comment Text Char"/>
    <w:basedOn w:val="DefaultParagraphFont"/>
    <w:link w:val="CommentText"/>
    <w:rsid w:val="001068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1486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6626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0e/Docs/RP-202846.zip" TargetMode="External"/><Relationship Id="rId18" Type="http://schemas.openxmlformats.org/officeDocument/2006/relationships/hyperlink" Target="https://5gaa.org/wp-content/uploads/2020/08/5GAA_XW3200034_White_Paper_Vulnerable-Road-User-Protection.pdf"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5gaa.org/wp-content/uploads/2020/08/5GAA_XW3200034_White_Paper_Vulnerable-Road-User-Protection.pdf" TargetMode="External"/><Relationship Id="rId7" Type="http://schemas.openxmlformats.org/officeDocument/2006/relationships/styles" Target="styles.xml"/><Relationship Id="rId12" Type="http://schemas.openxmlformats.org/officeDocument/2006/relationships/hyperlink" Target="https://www.3gpp.org/ftp/tsg_ran/WG2_RL2/TSGR2_113-e/Inbox/Chairmans_Notes/RAN2-113e_LTE%20V2X_Rel16%20NR%20SL_Rel17%20NR%20SL%20enh_EOM.docx" TargetMode="External"/><Relationship Id="rId17" Type="http://schemas.openxmlformats.org/officeDocument/2006/relationships/hyperlink" Target="https://www.3gpp.org/ftp/TSG_RAN/TSG_RAN/TSGR_90e/Docs/RP-202846.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2_RL2/TSGR2_113-e/Inbox/Drafts/%5BOffline-708%5D%5BSL%5D%20GC%20BC%20Granularity%20(Lenovo)/Report/R2-210xxxx%20-%20Summary%20of%20AT113-e708_Initial%20Report_V2_OPPO.docx" TargetMode="External"/><Relationship Id="rId20" Type="http://schemas.openxmlformats.org/officeDocument/2006/relationships/hyperlink" Target="https://5gaa.org/wp-content/uploads/2020/08/5GAA_XW3200034_White_Paper_Vulnerable-Road-User-Protection.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2_RL2/TSGR2_113-e/Inbox/R2-2102184.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c.europa.eu/commission/presscorner/detail/en/MEMO_19_199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Inbox/Drafts/%5BOffline-708%5D%5BSL%5D%20GC%20BC%20Granularity%20(Lenovo)/Report/R2-210xxxx%20-%20Summary%20of%20AT113-e708_Initial%20Report_V2_OPPO.docx"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5AIRPNAIUNRU-859666464-8492</_dlc_DocId>
    <_dlc_DocIdUrl xmlns="71c5aaf6-e6ce-465b-b873-5148d2a4c105">
      <Url>https://nokia.sharepoint.com/sites/c5g/e2earch/_layouts/15/DocIdRedir.aspx?ID=5AIRPNAIUNRU-859666464-8492</Url>
      <Description>5AIRPNAIUNRU-859666464-8492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1798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13106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4</cp:revision>
  <dcterms:created xsi:type="dcterms:W3CDTF">2021-05-10T10:59:00Z</dcterms:created>
  <dcterms:modified xsi:type="dcterms:W3CDTF">2021-05-10T14:18:00Z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3bdb60de-fa4c-4bae-9ad9-5148e9c2c1d1</vt:lpwstr>
  </property>
</Properties>
</file>